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E68B1" w14:textId="77777777" w:rsidR="0037351D" w:rsidRPr="00AA7C1A" w:rsidRDefault="0037351D" w:rsidP="0037351D">
      <w:pPr>
        <w:jc w:val="right"/>
        <w:rPr>
          <w:b/>
          <w:bCs/>
        </w:rPr>
      </w:pPr>
      <w:bookmarkStart w:id="0" w:name="_GoBack"/>
      <w:bookmarkEnd w:id="0"/>
      <w:r w:rsidRPr="00AA7C1A">
        <w:rPr>
          <w:b/>
          <w:bCs/>
        </w:rPr>
        <w:t>УТВЕРЖДАЮ</w:t>
      </w:r>
    </w:p>
    <w:p w14:paraId="4C333998" w14:textId="77777777" w:rsidR="0037351D" w:rsidRPr="00AA7C1A" w:rsidRDefault="0037351D" w:rsidP="0037351D">
      <w:pPr>
        <w:jc w:val="right"/>
        <w:rPr>
          <w:b/>
          <w:bCs/>
        </w:rPr>
      </w:pPr>
      <w:r w:rsidRPr="00AA7C1A">
        <w:rPr>
          <w:b/>
          <w:bCs/>
        </w:rPr>
        <w:t xml:space="preserve"> Заместитель директора</w:t>
      </w:r>
    </w:p>
    <w:p w14:paraId="6435529C" w14:textId="77777777" w:rsidR="0037351D" w:rsidRPr="00AA7C1A" w:rsidRDefault="0037351D" w:rsidP="0037351D">
      <w:pPr>
        <w:jc w:val="right"/>
        <w:rPr>
          <w:b/>
          <w:bCs/>
        </w:rPr>
      </w:pPr>
      <w:r w:rsidRPr="00AA7C1A">
        <w:rPr>
          <w:b/>
          <w:bCs/>
        </w:rPr>
        <w:t>Департамента лекарственных</w:t>
      </w:r>
    </w:p>
    <w:p w14:paraId="6CAF1511" w14:textId="44441F1F" w:rsidR="0037351D" w:rsidRPr="00A0777D" w:rsidRDefault="0037351D" w:rsidP="0037351D">
      <w:pPr>
        <w:jc w:val="right"/>
        <w:rPr>
          <w:b/>
          <w:bCs/>
          <w:lang w:val="ru-RU"/>
        </w:rPr>
      </w:pPr>
      <w:r w:rsidRPr="00AA7C1A">
        <w:rPr>
          <w:b/>
          <w:bCs/>
        </w:rPr>
        <w:t>средств и медицинских изделий</w:t>
      </w:r>
      <w:r w:rsidR="00A0777D">
        <w:rPr>
          <w:b/>
          <w:bCs/>
          <w:lang w:val="ru-RU"/>
        </w:rPr>
        <w:t xml:space="preserve"> при</w:t>
      </w:r>
    </w:p>
    <w:p w14:paraId="13C82AAF" w14:textId="0D4960C5" w:rsidR="0037351D" w:rsidRPr="00AA7C1A" w:rsidRDefault="0037351D" w:rsidP="0037351D">
      <w:pPr>
        <w:jc w:val="right"/>
        <w:rPr>
          <w:b/>
          <w:bCs/>
        </w:rPr>
      </w:pPr>
      <w:r w:rsidRPr="00AA7C1A">
        <w:rPr>
          <w:b/>
          <w:bCs/>
        </w:rPr>
        <w:t>Министерств</w:t>
      </w:r>
      <w:r w:rsidR="00A0777D">
        <w:rPr>
          <w:b/>
          <w:bCs/>
          <w:lang w:val="ru-RU"/>
        </w:rPr>
        <w:t>е</w:t>
      </w:r>
      <w:r w:rsidRPr="00AA7C1A">
        <w:rPr>
          <w:b/>
          <w:bCs/>
        </w:rPr>
        <w:t xml:space="preserve"> здравоохранения</w:t>
      </w:r>
    </w:p>
    <w:p w14:paraId="011A38A5" w14:textId="77777777" w:rsidR="0037351D" w:rsidRPr="00AA7C1A" w:rsidRDefault="0037351D" w:rsidP="0037351D">
      <w:pPr>
        <w:jc w:val="right"/>
        <w:rPr>
          <w:b/>
          <w:bCs/>
        </w:rPr>
      </w:pPr>
      <w:r w:rsidRPr="00AA7C1A">
        <w:rPr>
          <w:b/>
          <w:bCs/>
        </w:rPr>
        <w:t>Кыргызской Республики</w:t>
      </w:r>
    </w:p>
    <w:p w14:paraId="65FBC6D7" w14:textId="0F407AC6" w:rsidR="0037351D" w:rsidRPr="00AA7C1A" w:rsidRDefault="0037351D" w:rsidP="0037351D">
      <w:pPr>
        <w:jc w:val="right"/>
        <w:rPr>
          <w:b/>
          <w:bCs/>
        </w:rPr>
      </w:pPr>
      <w:r>
        <w:rPr>
          <w:b/>
          <w:bCs/>
          <w:lang w:val="ru-RU"/>
        </w:rPr>
        <w:t>Абдиев М.К.</w:t>
      </w:r>
      <w:r>
        <w:rPr>
          <w:b/>
          <w:bCs/>
        </w:rPr>
        <w:t xml:space="preserve"> </w:t>
      </w:r>
      <w:r w:rsidRPr="00AA7C1A">
        <w:rPr>
          <w:b/>
          <w:bCs/>
        </w:rPr>
        <w:t>_</w:t>
      </w:r>
      <w:r w:rsidR="00A0777D">
        <w:rPr>
          <w:b/>
          <w:bCs/>
          <w:lang w:val="ru-RU"/>
        </w:rPr>
        <w:t>_____________</w:t>
      </w:r>
      <w:r w:rsidRPr="00AA7C1A">
        <w:rPr>
          <w:b/>
          <w:bCs/>
        </w:rPr>
        <w:t>_______</w:t>
      </w:r>
    </w:p>
    <w:p w14:paraId="07080917" w14:textId="36F49FAF" w:rsidR="0037351D" w:rsidRDefault="0037351D" w:rsidP="0037351D">
      <w:pPr>
        <w:jc w:val="right"/>
        <w:rPr>
          <w:b/>
          <w:bCs/>
        </w:rPr>
      </w:pPr>
      <w:r w:rsidRPr="00AA7C1A">
        <w:rPr>
          <w:b/>
          <w:bCs/>
        </w:rPr>
        <w:t xml:space="preserve"> «</w:t>
      </w:r>
      <w:r>
        <w:rPr>
          <w:b/>
          <w:bCs/>
          <w:lang w:val="ru-RU"/>
        </w:rPr>
        <w:t>_</w:t>
      </w:r>
      <w:r w:rsidR="00A0777D">
        <w:rPr>
          <w:b/>
          <w:bCs/>
          <w:lang w:val="ru-RU"/>
        </w:rPr>
        <w:t>____</w:t>
      </w:r>
      <w:r>
        <w:rPr>
          <w:b/>
          <w:bCs/>
          <w:lang w:val="ru-RU"/>
        </w:rPr>
        <w:t>__</w:t>
      </w:r>
      <w:r w:rsidRPr="001610CB">
        <w:rPr>
          <w:b/>
          <w:bCs/>
        </w:rPr>
        <w:t xml:space="preserve">»  </w:t>
      </w:r>
      <w:r>
        <w:rPr>
          <w:b/>
          <w:bCs/>
          <w:lang w:val="ru-RU"/>
        </w:rPr>
        <w:t>________________</w:t>
      </w:r>
      <w:r w:rsidRPr="001610CB">
        <w:rPr>
          <w:b/>
          <w:bCs/>
        </w:rPr>
        <w:t xml:space="preserve">  202</w:t>
      </w:r>
      <w:r w:rsidR="00A0777D">
        <w:rPr>
          <w:b/>
          <w:bCs/>
          <w:lang w:val="ru-RU"/>
        </w:rPr>
        <w:t xml:space="preserve">3 </w:t>
      </w:r>
      <w:r w:rsidRPr="001610CB">
        <w:rPr>
          <w:b/>
          <w:bCs/>
        </w:rPr>
        <w:t>г.</w:t>
      </w:r>
    </w:p>
    <w:p w14:paraId="25B130E3" w14:textId="77777777" w:rsidR="00A0777D" w:rsidRDefault="00A0777D" w:rsidP="0037351D">
      <w:pPr>
        <w:jc w:val="right"/>
        <w:rPr>
          <w:b/>
          <w:bCs/>
        </w:rPr>
      </w:pPr>
    </w:p>
    <w:p w14:paraId="28235DB3" w14:textId="77777777" w:rsidR="00A0777D" w:rsidRPr="00AA7C1A" w:rsidRDefault="00A0777D" w:rsidP="0037351D">
      <w:pPr>
        <w:jc w:val="right"/>
        <w:rPr>
          <w:b/>
          <w:bCs/>
        </w:rPr>
      </w:pPr>
    </w:p>
    <w:p w14:paraId="409D319E" w14:textId="77777777" w:rsidR="0037351D" w:rsidRDefault="0037351D" w:rsidP="00A3433A">
      <w:pPr>
        <w:ind w:right="-1"/>
        <w:contextualSpacing/>
        <w:jc w:val="center"/>
        <w:rPr>
          <w:b/>
          <w:szCs w:val="24"/>
          <w:lang w:val="ru-RU"/>
        </w:rPr>
      </w:pPr>
    </w:p>
    <w:p w14:paraId="7D407130" w14:textId="5E2806E4" w:rsidR="001D310F" w:rsidRPr="00A3433A" w:rsidRDefault="001D310F" w:rsidP="00A3433A">
      <w:pPr>
        <w:ind w:right="-1"/>
        <w:contextualSpacing/>
        <w:jc w:val="center"/>
        <w:rPr>
          <w:b/>
          <w:szCs w:val="24"/>
          <w:lang w:val="ru-RU"/>
        </w:rPr>
      </w:pPr>
      <w:r w:rsidRPr="00A3433A">
        <w:rPr>
          <w:b/>
          <w:szCs w:val="24"/>
          <w:lang w:val="ru-RU"/>
        </w:rPr>
        <w:t>ИНСТРУКЦИЯ</w:t>
      </w:r>
      <w:r w:rsidR="00DD68C8" w:rsidRPr="00A3433A">
        <w:rPr>
          <w:b/>
          <w:szCs w:val="24"/>
          <w:lang w:val="ru-RU"/>
        </w:rPr>
        <w:t xml:space="preserve"> </w:t>
      </w:r>
      <w:r w:rsidRPr="00A3433A">
        <w:rPr>
          <w:b/>
          <w:szCs w:val="24"/>
          <w:lang w:val="ru-RU"/>
        </w:rPr>
        <w:t>ПО МЕДИЦИНСКОМУ ПРИМЕНЕНИЮ ЛЕКАРСТВЕННОГО</w:t>
      </w:r>
      <w:r w:rsidR="00C46897" w:rsidRPr="00A3433A">
        <w:rPr>
          <w:b/>
          <w:szCs w:val="24"/>
          <w:lang w:val="ru-RU"/>
        </w:rPr>
        <w:t xml:space="preserve"> </w:t>
      </w:r>
      <w:r w:rsidR="00DD68C8" w:rsidRPr="00A3433A">
        <w:rPr>
          <w:b/>
          <w:szCs w:val="24"/>
          <w:lang w:val="ru-RU"/>
        </w:rPr>
        <w:t>ПРЕПАРАТА</w:t>
      </w:r>
    </w:p>
    <w:p w14:paraId="2C4348E8" w14:textId="77777777" w:rsidR="001D310F" w:rsidRPr="00A3433A" w:rsidRDefault="001D310F" w:rsidP="00A3433A">
      <w:pPr>
        <w:ind w:right="-1"/>
        <w:contextualSpacing/>
        <w:jc w:val="center"/>
        <w:rPr>
          <w:szCs w:val="24"/>
          <w:lang w:val="ru-RU"/>
        </w:rPr>
      </w:pPr>
    </w:p>
    <w:p w14:paraId="2C50B989" w14:textId="77777777" w:rsidR="004F62B5" w:rsidRPr="00A3433A" w:rsidRDefault="004F62B5" w:rsidP="00A3433A">
      <w:pPr>
        <w:ind w:right="-1"/>
        <w:contextualSpacing/>
        <w:jc w:val="center"/>
        <w:rPr>
          <w:b/>
          <w:szCs w:val="24"/>
          <w:lang w:val="ru-RU" w:eastAsia="ru-RU"/>
        </w:rPr>
      </w:pPr>
      <w:r w:rsidRPr="00A3433A">
        <w:rPr>
          <w:b/>
          <w:szCs w:val="24"/>
          <w:lang w:val="ru-RU" w:eastAsia="ru-RU"/>
        </w:rPr>
        <w:t>НЕБУФЛЮЗОН</w:t>
      </w:r>
    </w:p>
    <w:p w14:paraId="2FEA7AA9" w14:textId="77777777" w:rsidR="004F62B5" w:rsidRPr="00A3433A" w:rsidRDefault="004F62B5" w:rsidP="00A3433A">
      <w:pPr>
        <w:ind w:right="-1"/>
        <w:contextualSpacing/>
        <w:jc w:val="center"/>
        <w:rPr>
          <w:b/>
          <w:szCs w:val="24"/>
          <w:lang w:val="ru-RU" w:eastAsia="ru-RU"/>
        </w:rPr>
      </w:pPr>
      <w:r w:rsidRPr="00A3433A">
        <w:rPr>
          <w:b/>
          <w:szCs w:val="24"/>
          <w:lang w:val="ru-RU" w:eastAsia="ru-RU"/>
        </w:rPr>
        <w:t>(NEBUFLU</w:t>
      </w:r>
      <w:r w:rsidR="002C7D0E" w:rsidRPr="00A3433A">
        <w:rPr>
          <w:b/>
          <w:szCs w:val="24"/>
          <w:lang w:val="ru-RU" w:eastAsia="ru-RU"/>
        </w:rPr>
        <w:t>Z</w:t>
      </w:r>
      <w:r w:rsidRPr="00A3433A">
        <w:rPr>
          <w:b/>
          <w:szCs w:val="24"/>
          <w:lang w:val="ru-RU" w:eastAsia="ru-RU"/>
        </w:rPr>
        <w:t>ON)</w:t>
      </w:r>
    </w:p>
    <w:p w14:paraId="51708095" w14:textId="77777777" w:rsidR="004F62B5" w:rsidRPr="00A3433A" w:rsidRDefault="004F62B5" w:rsidP="00A3433A">
      <w:pPr>
        <w:ind w:right="-1"/>
        <w:contextualSpacing/>
        <w:jc w:val="both"/>
        <w:rPr>
          <w:b/>
          <w:szCs w:val="24"/>
          <w:lang w:val="ru-RU" w:eastAsia="ru-RU"/>
        </w:rPr>
      </w:pPr>
    </w:p>
    <w:p w14:paraId="6401B024" w14:textId="77777777" w:rsidR="001D310F" w:rsidRPr="0037351D" w:rsidRDefault="001D310F" w:rsidP="00A3433A">
      <w:pPr>
        <w:pStyle w:val="Markers"/>
        <w:spacing w:after="0" w:line="240" w:lineRule="auto"/>
        <w:ind w:right="-1"/>
        <w:contextualSpacing/>
        <w:rPr>
          <w:rFonts w:ascii="Times New Roman" w:hAnsi="Times New Roman"/>
          <w:b/>
          <w:color w:val="auto"/>
          <w:sz w:val="24"/>
          <w:szCs w:val="24"/>
          <w:lang w:val="ru-RU"/>
        </w:rPr>
      </w:pPr>
      <w:r w:rsidRPr="0037351D">
        <w:rPr>
          <w:rFonts w:ascii="Times New Roman" w:hAnsi="Times New Roman"/>
          <w:b/>
          <w:color w:val="auto"/>
          <w:sz w:val="24"/>
          <w:szCs w:val="24"/>
          <w:lang w:val="ru-RU"/>
        </w:rPr>
        <w:t>Торговое название</w:t>
      </w:r>
    </w:p>
    <w:p w14:paraId="7EDBAA4C" w14:textId="44398FEB" w:rsidR="00CD3666" w:rsidRPr="0037351D" w:rsidRDefault="00B67AE1" w:rsidP="00A3433A">
      <w:pPr>
        <w:ind w:right="-1"/>
        <w:contextualSpacing/>
        <w:jc w:val="both"/>
        <w:rPr>
          <w:bCs/>
          <w:szCs w:val="24"/>
          <w:lang w:val="ru-RU" w:eastAsia="ru-RU"/>
        </w:rPr>
      </w:pPr>
      <w:r w:rsidRPr="0037351D">
        <w:rPr>
          <w:szCs w:val="24"/>
          <w:lang w:val="ru-RU"/>
        </w:rPr>
        <w:t>Н</w:t>
      </w:r>
      <w:r w:rsidR="00CD3666" w:rsidRPr="0037351D">
        <w:rPr>
          <w:bCs/>
          <w:szCs w:val="24"/>
          <w:lang w:val="ru-RU" w:eastAsia="ru-RU"/>
        </w:rPr>
        <w:t>ЕБУФЛЮЗОН</w:t>
      </w:r>
    </w:p>
    <w:p w14:paraId="4C2132D9" w14:textId="77777777" w:rsidR="00CD3666" w:rsidRPr="0037351D" w:rsidRDefault="00CD3666" w:rsidP="00A3433A">
      <w:pPr>
        <w:ind w:right="-1"/>
        <w:contextualSpacing/>
        <w:jc w:val="both"/>
        <w:rPr>
          <w:bCs/>
          <w:szCs w:val="24"/>
          <w:lang w:val="ru-RU" w:eastAsia="ru-RU"/>
        </w:rPr>
      </w:pPr>
      <w:r w:rsidRPr="0037351D">
        <w:rPr>
          <w:bCs/>
          <w:szCs w:val="24"/>
          <w:lang w:val="ru-RU" w:eastAsia="ru-RU"/>
        </w:rPr>
        <w:t>(NEBUFLUZON)</w:t>
      </w:r>
    </w:p>
    <w:p w14:paraId="3A983B6C" w14:textId="77777777" w:rsidR="00B67AE1" w:rsidRPr="0037351D" w:rsidRDefault="00B67AE1" w:rsidP="003377E2">
      <w:pPr>
        <w:pStyle w:val="Markers"/>
        <w:spacing w:after="0" w:line="240" w:lineRule="auto"/>
        <w:ind w:right="-1"/>
        <w:contextualSpacing/>
        <w:rPr>
          <w:rFonts w:ascii="Times New Roman" w:hAnsi="Times New Roman"/>
          <w:b/>
          <w:color w:val="auto"/>
          <w:sz w:val="24"/>
          <w:szCs w:val="24"/>
          <w:lang w:val="ru-RU"/>
        </w:rPr>
      </w:pPr>
    </w:p>
    <w:p w14:paraId="7D2C7752" w14:textId="77777777" w:rsidR="001D310F" w:rsidRPr="0037351D" w:rsidRDefault="001D310F" w:rsidP="003377E2">
      <w:pPr>
        <w:pStyle w:val="Markers"/>
        <w:spacing w:after="0" w:line="240" w:lineRule="auto"/>
        <w:ind w:right="-1"/>
        <w:contextualSpacing/>
        <w:rPr>
          <w:rFonts w:ascii="Times New Roman" w:hAnsi="Times New Roman"/>
          <w:b/>
          <w:color w:val="auto"/>
          <w:sz w:val="24"/>
          <w:szCs w:val="24"/>
          <w:lang w:val="ru-RU"/>
        </w:rPr>
      </w:pPr>
      <w:r w:rsidRPr="0037351D">
        <w:rPr>
          <w:rFonts w:ascii="Times New Roman" w:hAnsi="Times New Roman"/>
          <w:b/>
          <w:color w:val="auto"/>
          <w:sz w:val="24"/>
          <w:szCs w:val="24"/>
          <w:lang w:val="ru-RU"/>
        </w:rPr>
        <w:t>Международное непатентованное наименование</w:t>
      </w:r>
    </w:p>
    <w:p w14:paraId="2DEA83DE" w14:textId="4B090D7C" w:rsidR="001D310F" w:rsidRPr="0037351D" w:rsidRDefault="002661FB" w:rsidP="003377E2">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sz w:val="24"/>
          <w:szCs w:val="24"/>
          <w:lang w:val="en-US"/>
        </w:rPr>
        <w:t>Fluticasone</w:t>
      </w:r>
    </w:p>
    <w:p w14:paraId="18D1B7E3" w14:textId="77777777" w:rsidR="00B67AE1" w:rsidRPr="0037351D" w:rsidRDefault="00B67AE1" w:rsidP="003377E2">
      <w:pPr>
        <w:ind w:right="-1"/>
        <w:contextualSpacing/>
        <w:jc w:val="both"/>
        <w:rPr>
          <w:b/>
          <w:bCs/>
          <w:szCs w:val="24"/>
          <w:lang w:val="ru-RU"/>
        </w:rPr>
      </w:pPr>
    </w:p>
    <w:p w14:paraId="408849F2" w14:textId="0165EDA7" w:rsidR="00DD68C8" w:rsidRPr="0037351D" w:rsidRDefault="00DD68C8" w:rsidP="003377E2">
      <w:pPr>
        <w:pStyle w:val="Markers"/>
        <w:spacing w:after="0" w:line="240" w:lineRule="auto"/>
        <w:ind w:right="-1"/>
        <w:contextualSpacing/>
        <w:rPr>
          <w:rFonts w:ascii="Times New Roman" w:hAnsi="Times New Roman"/>
          <w:iCs/>
          <w:color w:val="auto"/>
          <w:sz w:val="24"/>
          <w:szCs w:val="24"/>
          <w:lang w:val="ru-RU" w:eastAsia="ru-RU"/>
        </w:rPr>
      </w:pPr>
      <w:r w:rsidRPr="0037351D">
        <w:rPr>
          <w:rFonts w:ascii="Times New Roman" w:hAnsi="Times New Roman"/>
          <w:b/>
          <w:iCs/>
          <w:color w:val="auto"/>
          <w:sz w:val="24"/>
          <w:szCs w:val="24"/>
          <w:lang w:val="ru-RU"/>
        </w:rPr>
        <w:t>Состав</w:t>
      </w:r>
    </w:p>
    <w:p w14:paraId="47899185" w14:textId="3F292FAE" w:rsidR="00C46897" w:rsidRPr="0037351D" w:rsidRDefault="00DD68C8"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1</w:t>
      </w:r>
      <w:r w:rsidR="009C701B"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мл суспензии содержит</w:t>
      </w:r>
      <w:r w:rsidR="00660A61" w:rsidRPr="0037351D">
        <w:rPr>
          <w:rFonts w:ascii="Times New Roman" w:hAnsi="Times New Roman"/>
          <w:color w:val="auto"/>
          <w:sz w:val="24"/>
          <w:szCs w:val="24"/>
          <w:lang w:val="ru-RU" w:eastAsia="ru-RU"/>
        </w:rPr>
        <w:t>:</w:t>
      </w:r>
    </w:p>
    <w:p w14:paraId="03A07589" w14:textId="51388F93" w:rsidR="00C46897" w:rsidRPr="0037351D" w:rsidRDefault="00660A61" w:rsidP="00A3433A">
      <w:pPr>
        <w:ind w:right="-1"/>
        <w:contextualSpacing/>
        <w:jc w:val="both"/>
        <w:rPr>
          <w:i/>
          <w:szCs w:val="24"/>
          <w:lang w:val="ru-RU" w:eastAsia="ru-RU"/>
        </w:rPr>
      </w:pPr>
      <w:r w:rsidRPr="0037351D">
        <w:rPr>
          <w:i/>
          <w:szCs w:val="24"/>
          <w:lang w:val="ru-RU" w:eastAsia="ru-RU"/>
        </w:rPr>
        <w:t>д</w:t>
      </w:r>
      <w:r w:rsidR="00C46897" w:rsidRPr="0037351D">
        <w:rPr>
          <w:i/>
          <w:szCs w:val="24"/>
          <w:lang w:val="ru-RU" w:eastAsia="ru-RU"/>
        </w:rPr>
        <w:t xml:space="preserve">ействующее вещество: </w:t>
      </w:r>
      <w:bookmarkStart w:id="1" w:name="_Hlk135145457"/>
      <w:r w:rsidR="00C46897" w:rsidRPr="0037351D">
        <w:rPr>
          <w:szCs w:val="24"/>
          <w:lang w:val="ru-RU" w:eastAsia="ru-RU"/>
        </w:rPr>
        <w:t>фл</w:t>
      </w:r>
      <w:r w:rsidR="005B0715" w:rsidRPr="0037351D">
        <w:rPr>
          <w:szCs w:val="24"/>
          <w:lang w:val="ru-RU" w:eastAsia="ru-RU"/>
        </w:rPr>
        <w:t>у</w:t>
      </w:r>
      <w:r w:rsidR="00C46897" w:rsidRPr="0037351D">
        <w:rPr>
          <w:szCs w:val="24"/>
          <w:lang w:val="ru-RU" w:eastAsia="ru-RU"/>
        </w:rPr>
        <w:t>тиказона пропионат</w:t>
      </w:r>
      <w:r w:rsidR="00DD68C8" w:rsidRPr="0037351D">
        <w:rPr>
          <w:szCs w:val="24"/>
          <w:lang w:val="ru-RU" w:eastAsia="ru-RU"/>
        </w:rPr>
        <w:t xml:space="preserve">а </w:t>
      </w:r>
      <w:bookmarkEnd w:id="1"/>
      <w:r w:rsidR="00DD68C8" w:rsidRPr="0037351D">
        <w:rPr>
          <w:szCs w:val="24"/>
          <w:lang w:val="ru-RU" w:eastAsia="ru-RU"/>
        </w:rPr>
        <w:t>1</w:t>
      </w:r>
      <w:r w:rsidR="009C701B" w:rsidRPr="0037351D">
        <w:rPr>
          <w:szCs w:val="24"/>
          <w:lang w:val="ru-RU" w:eastAsia="ru-RU"/>
        </w:rPr>
        <w:t> </w:t>
      </w:r>
      <w:r w:rsidR="00DD68C8" w:rsidRPr="0037351D">
        <w:rPr>
          <w:szCs w:val="24"/>
          <w:lang w:val="ru-RU" w:eastAsia="ru-RU"/>
        </w:rPr>
        <w:t>мг</w:t>
      </w:r>
      <w:r w:rsidR="00C46897" w:rsidRPr="0037351D">
        <w:rPr>
          <w:szCs w:val="24"/>
          <w:lang w:val="ru-RU" w:eastAsia="ru-RU"/>
        </w:rPr>
        <w:t>;</w:t>
      </w:r>
    </w:p>
    <w:p w14:paraId="3DC9B08F" w14:textId="58DC8034" w:rsidR="00C46897" w:rsidRPr="0037351D" w:rsidRDefault="00660A61" w:rsidP="00A3433A">
      <w:pPr>
        <w:ind w:right="-1"/>
        <w:contextualSpacing/>
        <w:jc w:val="both"/>
        <w:rPr>
          <w:szCs w:val="24"/>
          <w:lang w:val="ru-RU" w:eastAsia="ru-RU"/>
        </w:rPr>
      </w:pPr>
      <w:r w:rsidRPr="0037351D">
        <w:rPr>
          <w:i/>
          <w:szCs w:val="24"/>
          <w:lang w:val="ru-RU" w:eastAsia="ru-RU"/>
        </w:rPr>
        <w:t>в</w:t>
      </w:r>
      <w:r w:rsidR="00C46897" w:rsidRPr="0037351D">
        <w:rPr>
          <w:i/>
          <w:szCs w:val="24"/>
          <w:lang w:val="ru-RU" w:eastAsia="ru-RU"/>
        </w:rPr>
        <w:t xml:space="preserve">спомогательные вещества: </w:t>
      </w:r>
      <w:r w:rsidR="00C46897" w:rsidRPr="0037351D">
        <w:rPr>
          <w:szCs w:val="24"/>
          <w:lang w:val="ru-RU" w:eastAsia="ru-RU"/>
        </w:rPr>
        <w:t>декаметоксин; полисорбат-80; натрия дигидрофосфат дигидрат; натрия гидрофосфат безводный; натрия хлорид; вода для инъекций.</w:t>
      </w:r>
    </w:p>
    <w:p w14:paraId="7D8722BB" w14:textId="77777777" w:rsidR="00C46897" w:rsidRPr="0037351D" w:rsidRDefault="00C46897" w:rsidP="00A3433A">
      <w:pPr>
        <w:ind w:right="-1"/>
        <w:contextualSpacing/>
        <w:jc w:val="both"/>
        <w:rPr>
          <w:b/>
          <w:bCs/>
          <w:szCs w:val="24"/>
          <w:lang w:val="ru-RU"/>
        </w:rPr>
      </w:pPr>
    </w:p>
    <w:p w14:paraId="444C5665" w14:textId="77777777" w:rsidR="00DD68C8" w:rsidRPr="0037351D" w:rsidRDefault="00122122" w:rsidP="00A3433A">
      <w:pPr>
        <w:ind w:right="-1"/>
        <w:contextualSpacing/>
        <w:jc w:val="both"/>
        <w:rPr>
          <w:b/>
          <w:bCs/>
          <w:szCs w:val="24"/>
          <w:lang w:val="ru-RU"/>
        </w:rPr>
      </w:pPr>
      <w:r w:rsidRPr="0037351D">
        <w:rPr>
          <w:b/>
          <w:bCs/>
          <w:szCs w:val="24"/>
          <w:lang w:val="ru-RU"/>
        </w:rPr>
        <w:t>Лекарственная форма</w:t>
      </w:r>
    </w:p>
    <w:p w14:paraId="3F9B4146" w14:textId="1E2F26FB" w:rsidR="00DD68C8" w:rsidRPr="0037351D" w:rsidRDefault="00122122" w:rsidP="00A3433A">
      <w:pPr>
        <w:ind w:right="-1"/>
        <w:contextualSpacing/>
        <w:jc w:val="both"/>
        <w:rPr>
          <w:szCs w:val="24"/>
          <w:lang w:val="ru-RU" w:eastAsia="ru-RU"/>
        </w:rPr>
      </w:pPr>
      <w:r w:rsidRPr="0037351D">
        <w:rPr>
          <w:szCs w:val="24"/>
          <w:lang w:val="ru-RU" w:eastAsia="ru-RU"/>
        </w:rPr>
        <w:t>Суспензия для ингаляций</w:t>
      </w:r>
      <w:r w:rsidR="00660A61" w:rsidRPr="0037351D">
        <w:rPr>
          <w:szCs w:val="24"/>
          <w:lang w:val="ru-RU" w:eastAsia="ru-RU"/>
        </w:rPr>
        <w:t>.</w:t>
      </w:r>
    </w:p>
    <w:p w14:paraId="4223F970" w14:textId="77777777" w:rsidR="00DD68C8" w:rsidRPr="0037351D" w:rsidRDefault="00DD68C8" w:rsidP="00A3433A">
      <w:pPr>
        <w:ind w:right="-1"/>
        <w:contextualSpacing/>
        <w:jc w:val="both"/>
        <w:rPr>
          <w:szCs w:val="24"/>
          <w:lang w:val="ru-RU" w:eastAsia="ru-RU"/>
        </w:rPr>
      </w:pPr>
    </w:p>
    <w:p w14:paraId="792523D0" w14:textId="019ED579" w:rsidR="00DD68C8" w:rsidRPr="0037351D" w:rsidRDefault="00DD68C8" w:rsidP="00A3433A">
      <w:pPr>
        <w:ind w:right="-1"/>
        <w:contextualSpacing/>
        <w:jc w:val="both"/>
        <w:rPr>
          <w:b/>
          <w:szCs w:val="24"/>
          <w:lang w:val="ru-RU" w:eastAsia="ru-RU"/>
        </w:rPr>
      </w:pPr>
      <w:r w:rsidRPr="0037351D">
        <w:rPr>
          <w:b/>
          <w:szCs w:val="24"/>
          <w:lang w:val="ru-RU" w:eastAsia="ru-RU"/>
        </w:rPr>
        <w:t>Описание</w:t>
      </w:r>
    </w:p>
    <w:p w14:paraId="20DBD282" w14:textId="77777777" w:rsidR="00CB7A7B" w:rsidRPr="0037351D" w:rsidRDefault="00DD68C8" w:rsidP="00A3433A">
      <w:pPr>
        <w:ind w:right="-1"/>
        <w:contextualSpacing/>
        <w:jc w:val="both"/>
        <w:rPr>
          <w:szCs w:val="24"/>
          <w:lang w:val="ru-RU" w:eastAsia="ru-RU"/>
        </w:rPr>
      </w:pPr>
      <w:r w:rsidRPr="0037351D">
        <w:rPr>
          <w:szCs w:val="24"/>
          <w:lang w:val="ru-RU" w:eastAsia="ru-RU"/>
        </w:rPr>
        <w:t>Б</w:t>
      </w:r>
      <w:r w:rsidR="00CB7A7B" w:rsidRPr="0037351D">
        <w:rPr>
          <w:szCs w:val="24"/>
          <w:lang w:val="ru-RU" w:eastAsia="ru-RU"/>
        </w:rPr>
        <w:t>елая, непрозрачная, легко диспергирующая суспензия.</w:t>
      </w:r>
    </w:p>
    <w:p w14:paraId="2C278717" w14:textId="77777777" w:rsidR="00B67AE1" w:rsidRPr="0037351D" w:rsidRDefault="00B67AE1" w:rsidP="00A3433A">
      <w:pPr>
        <w:ind w:right="-1"/>
        <w:contextualSpacing/>
        <w:jc w:val="both"/>
        <w:rPr>
          <w:b/>
          <w:bCs/>
          <w:szCs w:val="24"/>
          <w:lang w:val="ru-RU"/>
        </w:rPr>
      </w:pPr>
    </w:p>
    <w:p w14:paraId="03764A3C" w14:textId="77777777" w:rsidR="00122122" w:rsidRPr="0037351D" w:rsidRDefault="00122122" w:rsidP="00A3433A">
      <w:pPr>
        <w:ind w:right="-1"/>
        <w:contextualSpacing/>
        <w:jc w:val="both"/>
        <w:rPr>
          <w:b/>
          <w:bCs/>
          <w:szCs w:val="24"/>
          <w:lang w:val="ru-RU"/>
        </w:rPr>
      </w:pPr>
      <w:r w:rsidRPr="0037351D">
        <w:rPr>
          <w:b/>
          <w:bCs/>
          <w:szCs w:val="24"/>
          <w:lang w:val="ru-RU"/>
        </w:rPr>
        <w:t>Фармакотерапевтическая группа</w:t>
      </w:r>
    </w:p>
    <w:p w14:paraId="6C0AA135" w14:textId="21572D5E" w:rsidR="004F62B5" w:rsidRPr="0037351D" w:rsidRDefault="00DD68C8" w:rsidP="00A3433A">
      <w:pPr>
        <w:ind w:right="-1"/>
        <w:contextualSpacing/>
        <w:jc w:val="both"/>
        <w:rPr>
          <w:szCs w:val="24"/>
          <w:lang w:val="ru-RU" w:eastAsia="ru-RU"/>
        </w:rPr>
      </w:pPr>
      <w:r w:rsidRPr="0037351D">
        <w:rPr>
          <w:szCs w:val="24"/>
          <w:lang w:val="ru-RU" w:eastAsia="ru-RU"/>
        </w:rPr>
        <w:t>Препараты для лечения заболеваний респираторной системы. Препараты для лечения обструктивных заболеваний дыхательных путей. Другие ингаляционные препараты для лечения обструктивных заболеваний дыхательных путей. Глюкокортикостероиды. Флутиказон.</w:t>
      </w:r>
    </w:p>
    <w:p w14:paraId="6ED75E0B" w14:textId="77777777" w:rsidR="004F62B5" w:rsidRPr="0037351D" w:rsidRDefault="004F62B5" w:rsidP="00A3433A">
      <w:pPr>
        <w:ind w:right="-1"/>
        <w:contextualSpacing/>
        <w:jc w:val="both"/>
        <w:rPr>
          <w:szCs w:val="24"/>
          <w:lang w:val="ru-RU" w:eastAsia="ru-RU"/>
        </w:rPr>
      </w:pPr>
      <w:r w:rsidRPr="0037351D">
        <w:rPr>
          <w:b/>
          <w:szCs w:val="24"/>
          <w:lang w:val="ru-RU" w:eastAsia="ru-RU"/>
        </w:rPr>
        <w:t xml:space="preserve">Код АТХ </w:t>
      </w:r>
      <w:r w:rsidRPr="0037351D">
        <w:rPr>
          <w:szCs w:val="24"/>
          <w:lang w:val="ru-RU" w:eastAsia="ru-RU"/>
        </w:rPr>
        <w:t>R03B A05.</w:t>
      </w:r>
    </w:p>
    <w:p w14:paraId="573FCC7F" w14:textId="77777777" w:rsidR="003B0CFB" w:rsidRPr="0037351D" w:rsidRDefault="003B0CFB" w:rsidP="00A3433A">
      <w:pPr>
        <w:ind w:right="-1"/>
        <w:contextualSpacing/>
        <w:jc w:val="both"/>
        <w:rPr>
          <w:b/>
          <w:bCs/>
          <w:szCs w:val="24"/>
          <w:lang w:val="ru-RU"/>
        </w:rPr>
      </w:pPr>
    </w:p>
    <w:p w14:paraId="459511C2" w14:textId="77777777" w:rsidR="00122122" w:rsidRPr="0037351D" w:rsidRDefault="00122122" w:rsidP="00A3433A">
      <w:pPr>
        <w:ind w:right="-1"/>
        <w:contextualSpacing/>
        <w:jc w:val="both"/>
        <w:rPr>
          <w:b/>
          <w:bCs/>
          <w:szCs w:val="24"/>
          <w:lang w:val="ru-RU"/>
        </w:rPr>
      </w:pPr>
      <w:r w:rsidRPr="0037351D">
        <w:rPr>
          <w:b/>
          <w:bCs/>
          <w:szCs w:val="24"/>
          <w:lang w:val="ru-RU"/>
        </w:rPr>
        <w:t>Фармакологические свойства</w:t>
      </w:r>
    </w:p>
    <w:p w14:paraId="02D70F5B" w14:textId="51B17EB8" w:rsidR="00122122" w:rsidRPr="0037351D" w:rsidRDefault="00122122" w:rsidP="00A3433A">
      <w:pPr>
        <w:ind w:right="-1"/>
        <w:contextualSpacing/>
        <w:jc w:val="both"/>
        <w:rPr>
          <w:i/>
          <w:szCs w:val="24"/>
          <w:lang w:val="ru-RU"/>
        </w:rPr>
      </w:pPr>
      <w:r w:rsidRPr="0037351D">
        <w:rPr>
          <w:i/>
          <w:szCs w:val="24"/>
          <w:lang w:val="ru-RU"/>
        </w:rPr>
        <w:t>Фармакодинамика</w:t>
      </w:r>
    </w:p>
    <w:p w14:paraId="0F74BB4D" w14:textId="77777777" w:rsidR="00872037" w:rsidRPr="0037351D" w:rsidRDefault="00122122" w:rsidP="00A3433A">
      <w:pPr>
        <w:ind w:right="-1"/>
        <w:contextualSpacing/>
        <w:jc w:val="both"/>
        <w:rPr>
          <w:szCs w:val="24"/>
          <w:lang w:val="ru-RU" w:eastAsia="ru-RU"/>
        </w:rPr>
      </w:pPr>
      <w:r w:rsidRPr="0037351D">
        <w:rPr>
          <w:szCs w:val="24"/>
          <w:lang w:val="ru-RU" w:eastAsia="ru-RU"/>
        </w:rPr>
        <w:t>Глюкокортикостероид фл</w:t>
      </w:r>
      <w:r w:rsidR="005B0715" w:rsidRPr="0037351D">
        <w:rPr>
          <w:szCs w:val="24"/>
          <w:lang w:val="ru-RU" w:eastAsia="ru-RU"/>
        </w:rPr>
        <w:t>у</w:t>
      </w:r>
      <w:r w:rsidRPr="0037351D">
        <w:rPr>
          <w:szCs w:val="24"/>
          <w:lang w:val="ru-RU" w:eastAsia="ru-RU"/>
        </w:rPr>
        <w:t>тиказона пропионат в рекомендуемых дозах для ингаляций оказывает мощное противовоспалительное действие на легкие, что приводит к уменьшению симптоматики и частоты приступов астмы.</w:t>
      </w:r>
    </w:p>
    <w:p w14:paraId="0C423705" w14:textId="77777777" w:rsidR="00872037" w:rsidRPr="0037351D" w:rsidRDefault="00872037" w:rsidP="00A3433A">
      <w:pPr>
        <w:ind w:right="-1"/>
        <w:contextualSpacing/>
        <w:jc w:val="both"/>
        <w:rPr>
          <w:szCs w:val="24"/>
          <w:u w:val="single"/>
          <w:lang w:val="ru-RU"/>
        </w:rPr>
      </w:pPr>
      <w:r w:rsidRPr="0037351D">
        <w:rPr>
          <w:szCs w:val="24"/>
          <w:u w:val="single"/>
          <w:lang w:val="ru-RU"/>
        </w:rPr>
        <w:t xml:space="preserve">Флутиказона пропионат, который содержится в лекарственных средствах, применяемых </w:t>
      </w:r>
      <w:r w:rsidR="001B2520" w:rsidRPr="0037351D">
        <w:rPr>
          <w:szCs w:val="24"/>
          <w:u w:val="single"/>
          <w:lang w:val="ru-RU"/>
        </w:rPr>
        <w:t>при астме во время беременности</w:t>
      </w:r>
    </w:p>
    <w:p w14:paraId="63456E37" w14:textId="77777777" w:rsidR="00872037" w:rsidRPr="0037351D" w:rsidRDefault="00872037" w:rsidP="00A3433A">
      <w:pPr>
        <w:ind w:right="-1"/>
        <w:contextualSpacing/>
        <w:jc w:val="both"/>
        <w:rPr>
          <w:szCs w:val="24"/>
          <w:lang w:val="ru-RU"/>
        </w:rPr>
      </w:pPr>
      <w:r w:rsidRPr="0037351D">
        <w:rPr>
          <w:szCs w:val="24"/>
          <w:lang w:val="ru-RU"/>
        </w:rPr>
        <w:t xml:space="preserve">Обзорное ретроспективное эпидемиологическое когортное исследование было проведено для оценки риска серьезных врожденных пороков развития после воздействия в первом </w:t>
      </w:r>
      <w:r w:rsidRPr="0037351D">
        <w:rPr>
          <w:szCs w:val="24"/>
          <w:lang w:val="ru-RU"/>
        </w:rPr>
        <w:lastRenderedPageBreak/>
        <w:t>триместре только ингаляционного флутиказона пропионата и комбинации сальметерол-флутиказона пропионата по сравнению с ингаляционными кортикостероидами</w:t>
      </w:r>
      <w:r w:rsidR="001B2520" w:rsidRPr="0037351D">
        <w:rPr>
          <w:szCs w:val="24"/>
          <w:lang w:val="ru-RU"/>
        </w:rPr>
        <w:t>,</w:t>
      </w:r>
      <w:r w:rsidRPr="0037351D">
        <w:rPr>
          <w:szCs w:val="24"/>
          <w:lang w:val="ru-RU"/>
        </w:rPr>
        <w:t xml:space="preserve"> не содержащими</w:t>
      </w:r>
      <w:r w:rsidR="001B2520" w:rsidRPr="0037351D">
        <w:rPr>
          <w:szCs w:val="24"/>
          <w:lang w:val="ru-RU"/>
        </w:rPr>
        <w:t xml:space="preserve"> флутиказона пропионат</w:t>
      </w:r>
      <w:r w:rsidRPr="0037351D">
        <w:rPr>
          <w:szCs w:val="24"/>
          <w:lang w:val="ru-RU"/>
        </w:rPr>
        <w:t xml:space="preserve">. В данное исследование не </w:t>
      </w:r>
      <w:r w:rsidR="001B2520" w:rsidRPr="0037351D">
        <w:rPr>
          <w:szCs w:val="24"/>
          <w:lang w:val="ru-RU"/>
        </w:rPr>
        <w:t>был включен компаратор плацебо.</w:t>
      </w:r>
    </w:p>
    <w:p w14:paraId="79A2250B" w14:textId="5362964B" w:rsidR="00122122" w:rsidRPr="0037351D" w:rsidRDefault="00872037" w:rsidP="00A3433A">
      <w:pPr>
        <w:ind w:right="-1"/>
        <w:contextualSpacing/>
        <w:jc w:val="both"/>
        <w:rPr>
          <w:szCs w:val="24"/>
          <w:lang w:val="ru-RU"/>
        </w:rPr>
      </w:pPr>
      <w:r w:rsidRPr="0037351D">
        <w:rPr>
          <w:szCs w:val="24"/>
          <w:lang w:val="ru-RU"/>
        </w:rPr>
        <w:t>В когорте астмы из 5362</w:t>
      </w:r>
      <w:r w:rsidR="009C701B" w:rsidRPr="0037351D">
        <w:rPr>
          <w:szCs w:val="24"/>
          <w:lang w:val="ru-RU"/>
        </w:rPr>
        <w:t> </w:t>
      </w:r>
      <w:r w:rsidRPr="0037351D">
        <w:rPr>
          <w:szCs w:val="24"/>
          <w:lang w:val="ru-RU"/>
        </w:rPr>
        <w:t>ингаляций кортикостероидов в первом триместре, было выявлено 131</w:t>
      </w:r>
      <w:r w:rsidR="009C701B" w:rsidRPr="0037351D">
        <w:rPr>
          <w:szCs w:val="24"/>
          <w:lang w:val="ru-RU"/>
        </w:rPr>
        <w:t> </w:t>
      </w:r>
      <w:r w:rsidRPr="0037351D">
        <w:rPr>
          <w:szCs w:val="24"/>
          <w:lang w:val="ru-RU"/>
        </w:rPr>
        <w:t>диагностированны</w:t>
      </w:r>
      <w:r w:rsidR="00CB70B6" w:rsidRPr="0037351D">
        <w:rPr>
          <w:szCs w:val="24"/>
          <w:lang w:val="ru-RU"/>
        </w:rPr>
        <w:t>х</w:t>
      </w:r>
      <w:r w:rsidRPr="0037351D">
        <w:rPr>
          <w:szCs w:val="24"/>
          <w:lang w:val="ru-RU"/>
        </w:rPr>
        <w:t xml:space="preserve"> серьезных врожденных пороков развития; 1612</w:t>
      </w:r>
      <w:r w:rsidR="009C701B" w:rsidRPr="0037351D">
        <w:rPr>
          <w:szCs w:val="24"/>
          <w:lang w:val="ru-RU"/>
        </w:rPr>
        <w:t> </w:t>
      </w:r>
      <w:r w:rsidRPr="0037351D">
        <w:rPr>
          <w:szCs w:val="24"/>
          <w:lang w:val="ru-RU"/>
        </w:rPr>
        <w:t>(30</w:t>
      </w:r>
      <w:r w:rsidR="009C701B" w:rsidRPr="0037351D">
        <w:rPr>
          <w:szCs w:val="24"/>
          <w:lang w:val="ru-RU"/>
        </w:rPr>
        <w:t> </w:t>
      </w:r>
      <w:r w:rsidRPr="0037351D">
        <w:rPr>
          <w:szCs w:val="24"/>
          <w:lang w:val="ru-RU"/>
        </w:rPr>
        <w:t>%) подверглись воздействию флутиказона</w:t>
      </w:r>
      <w:r w:rsidR="001B2520" w:rsidRPr="0037351D">
        <w:rPr>
          <w:szCs w:val="24"/>
          <w:lang w:val="ru-RU"/>
        </w:rPr>
        <w:t xml:space="preserve"> пропионата</w:t>
      </w:r>
      <w:r w:rsidRPr="0037351D">
        <w:rPr>
          <w:szCs w:val="24"/>
          <w:lang w:val="ru-RU"/>
        </w:rPr>
        <w:t xml:space="preserve"> или сальметерол-флутиказона</w:t>
      </w:r>
      <w:r w:rsidR="001B2520" w:rsidRPr="0037351D">
        <w:rPr>
          <w:szCs w:val="24"/>
          <w:lang w:val="ru-RU"/>
        </w:rPr>
        <w:t xml:space="preserve"> пропионата</w:t>
      </w:r>
      <w:r w:rsidRPr="0037351D">
        <w:rPr>
          <w:szCs w:val="24"/>
          <w:lang w:val="ru-RU"/>
        </w:rPr>
        <w:t xml:space="preserve">, из которых </w:t>
      </w:r>
      <w:r w:rsidR="001B2520" w:rsidRPr="0037351D">
        <w:rPr>
          <w:szCs w:val="24"/>
          <w:lang w:val="ru-RU"/>
        </w:rPr>
        <w:t xml:space="preserve">у </w:t>
      </w:r>
      <w:r w:rsidRPr="0037351D">
        <w:rPr>
          <w:szCs w:val="24"/>
          <w:lang w:val="ru-RU"/>
        </w:rPr>
        <w:t>42</w:t>
      </w:r>
      <w:r w:rsidR="009C701B" w:rsidRPr="0037351D">
        <w:rPr>
          <w:szCs w:val="24"/>
          <w:lang w:val="ru-RU"/>
        </w:rPr>
        <w:t> </w:t>
      </w:r>
      <w:r w:rsidRPr="0037351D">
        <w:rPr>
          <w:szCs w:val="24"/>
          <w:lang w:val="ru-RU"/>
        </w:rPr>
        <w:t>были диагностирован</w:t>
      </w:r>
      <w:r w:rsidR="001B2520" w:rsidRPr="0037351D">
        <w:rPr>
          <w:szCs w:val="24"/>
          <w:lang w:val="ru-RU"/>
        </w:rPr>
        <w:t>ы крупные врожденные пороки развития</w:t>
      </w:r>
      <w:r w:rsidRPr="0037351D">
        <w:rPr>
          <w:szCs w:val="24"/>
          <w:lang w:val="ru-RU"/>
        </w:rPr>
        <w:t xml:space="preserve">. Скорректированное соотношение шансов для </w:t>
      </w:r>
      <w:r w:rsidR="001B2520" w:rsidRPr="0037351D">
        <w:rPr>
          <w:szCs w:val="24"/>
          <w:lang w:val="ru-RU"/>
        </w:rPr>
        <w:t>крупных</w:t>
      </w:r>
      <w:r w:rsidRPr="0037351D">
        <w:rPr>
          <w:szCs w:val="24"/>
          <w:lang w:val="ru-RU"/>
        </w:rPr>
        <w:t xml:space="preserve"> врожденных пороков развития, диагностированных к 1 году, составило 1,1</w:t>
      </w:r>
      <w:r w:rsidR="009C701B" w:rsidRPr="0037351D">
        <w:rPr>
          <w:szCs w:val="24"/>
          <w:lang w:val="ru-RU"/>
        </w:rPr>
        <w:t> </w:t>
      </w:r>
      <w:r w:rsidRPr="0037351D">
        <w:rPr>
          <w:szCs w:val="24"/>
          <w:lang w:val="ru-RU"/>
        </w:rPr>
        <w:t>(95</w:t>
      </w:r>
      <w:r w:rsidR="009C701B" w:rsidRPr="0037351D">
        <w:rPr>
          <w:szCs w:val="24"/>
          <w:lang w:val="ru-RU"/>
        </w:rPr>
        <w:t> </w:t>
      </w:r>
      <w:r w:rsidRPr="0037351D">
        <w:rPr>
          <w:szCs w:val="24"/>
          <w:lang w:val="ru-RU"/>
        </w:rPr>
        <w:t xml:space="preserve">% ДИ: 0,5–2,3) для экспозиции с флутиказона пропионатом по сравнению с ингаляционными кортикостероидами, не </w:t>
      </w:r>
      <w:r w:rsidR="007C34E6" w:rsidRPr="0037351D">
        <w:rPr>
          <w:szCs w:val="24"/>
          <w:lang w:val="ru-RU"/>
        </w:rPr>
        <w:t>c</w:t>
      </w:r>
      <w:r w:rsidR="00C55D1B" w:rsidRPr="0037351D">
        <w:rPr>
          <w:szCs w:val="24"/>
          <w:lang w:val="ru-RU"/>
        </w:rPr>
        <w:t>одержащими</w:t>
      </w:r>
      <w:r w:rsidRPr="0037351D">
        <w:rPr>
          <w:szCs w:val="24"/>
          <w:lang w:val="ru-RU"/>
        </w:rPr>
        <w:t xml:space="preserve"> флутиказон</w:t>
      </w:r>
      <w:r w:rsidR="00C55D1B" w:rsidRPr="0037351D">
        <w:rPr>
          <w:szCs w:val="24"/>
          <w:lang w:val="ru-RU"/>
        </w:rPr>
        <w:t>а</w:t>
      </w:r>
      <w:r w:rsidRPr="0037351D">
        <w:rPr>
          <w:szCs w:val="24"/>
          <w:lang w:val="ru-RU"/>
        </w:rPr>
        <w:t xml:space="preserve"> пропионат</w:t>
      </w:r>
      <w:r w:rsidR="00C55D1B" w:rsidRPr="0037351D">
        <w:rPr>
          <w:szCs w:val="24"/>
          <w:lang w:val="ru-RU"/>
        </w:rPr>
        <w:t xml:space="preserve"> у женщин с астмой средней степе</w:t>
      </w:r>
      <w:r w:rsidR="00797726" w:rsidRPr="0037351D">
        <w:rPr>
          <w:szCs w:val="24"/>
          <w:lang w:val="ru-RU"/>
        </w:rPr>
        <w:t>н</w:t>
      </w:r>
      <w:r w:rsidR="00C55D1B" w:rsidRPr="0037351D">
        <w:rPr>
          <w:szCs w:val="24"/>
          <w:lang w:val="ru-RU"/>
        </w:rPr>
        <w:t>и тяжести</w:t>
      </w:r>
      <w:r w:rsidRPr="0037351D">
        <w:rPr>
          <w:szCs w:val="24"/>
          <w:lang w:val="ru-RU"/>
        </w:rPr>
        <w:t>, и 1,2</w:t>
      </w:r>
      <w:r w:rsidR="009C701B" w:rsidRPr="0037351D">
        <w:rPr>
          <w:szCs w:val="24"/>
          <w:lang w:val="ru-RU"/>
        </w:rPr>
        <w:t> </w:t>
      </w:r>
      <w:r w:rsidRPr="0037351D">
        <w:rPr>
          <w:szCs w:val="24"/>
          <w:lang w:val="ru-RU"/>
        </w:rPr>
        <w:t>(95</w:t>
      </w:r>
      <w:r w:rsidR="009C701B" w:rsidRPr="0037351D">
        <w:rPr>
          <w:szCs w:val="24"/>
          <w:lang w:val="ru-RU"/>
        </w:rPr>
        <w:t> </w:t>
      </w:r>
      <w:r w:rsidRPr="0037351D">
        <w:rPr>
          <w:szCs w:val="24"/>
          <w:lang w:val="ru-RU"/>
        </w:rPr>
        <w:t>% ДИ: 0,7</w:t>
      </w:r>
      <w:r w:rsidR="00C55D1B" w:rsidRPr="0037351D">
        <w:rPr>
          <w:szCs w:val="24"/>
          <w:lang w:val="ru-RU"/>
        </w:rPr>
        <w:t>–</w:t>
      </w:r>
      <w:r w:rsidRPr="0037351D">
        <w:rPr>
          <w:szCs w:val="24"/>
          <w:lang w:val="ru-RU"/>
        </w:rPr>
        <w:t xml:space="preserve">2,0) для женщин </w:t>
      </w:r>
      <w:r w:rsidR="00797726" w:rsidRPr="0037351D">
        <w:rPr>
          <w:szCs w:val="24"/>
          <w:lang w:val="ru-RU"/>
        </w:rPr>
        <w:t xml:space="preserve">с </w:t>
      </w:r>
      <w:r w:rsidRPr="0037351D">
        <w:rPr>
          <w:szCs w:val="24"/>
          <w:lang w:val="ru-RU"/>
        </w:rPr>
        <w:t>астмой</w:t>
      </w:r>
      <w:r w:rsidR="00797726" w:rsidRPr="0037351D">
        <w:rPr>
          <w:szCs w:val="24"/>
          <w:lang w:val="ru-RU"/>
        </w:rPr>
        <w:t xml:space="preserve"> тяжелой степени</w:t>
      </w:r>
      <w:r w:rsidRPr="0037351D">
        <w:rPr>
          <w:szCs w:val="24"/>
          <w:lang w:val="ru-RU"/>
        </w:rPr>
        <w:t>. Никакой разницы в риске</w:t>
      </w:r>
      <w:r w:rsidR="00C55D1B" w:rsidRPr="0037351D">
        <w:rPr>
          <w:szCs w:val="24"/>
          <w:lang w:val="ru-RU"/>
        </w:rPr>
        <w:t xml:space="preserve"> развития</w:t>
      </w:r>
      <w:r w:rsidRPr="0037351D">
        <w:rPr>
          <w:szCs w:val="24"/>
          <w:lang w:val="ru-RU"/>
        </w:rPr>
        <w:t xml:space="preserve"> серьезных врожденных пороков не было выявлено после воздействия в первом триместре только флутиказона пропионатом в сравнении с комбинацией сальметерол-флутиказона пропионата. Абсолютны</w:t>
      </w:r>
      <w:r w:rsidR="00B91903" w:rsidRPr="0037351D">
        <w:rPr>
          <w:szCs w:val="24"/>
          <w:lang w:val="ru-RU"/>
        </w:rPr>
        <w:t>е</w:t>
      </w:r>
      <w:r w:rsidRPr="0037351D">
        <w:rPr>
          <w:szCs w:val="24"/>
          <w:lang w:val="ru-RU"/>
        </w:rPr>
        <w:t xml:space="preserve"> риск</w:t>
      </w:r>
      <w:r w:rsidR="00B91903" w:rsidRPr="0037351D">
        <w:rPr>
          <w:szCs w:val="24"/>
          <w:lang w:val="ru-RU"/>
        </w:rPr>
        <w:t>и</w:t>
      </w:r>
      <w:r w:rsidRPr="0037351D">
        <w:rPr>
          <w:szCs w:val="24"/>
          <w:lang w:val="ru-RU"/>
        </w:rPr>
        <w:t xml:space="preserve"> серьезных врожденных пороков развития по всем </w:t>
      </w:r>
      <w:r w:rsidR="00C55D1B" w:rsidRPr="0037351D">
        <w:rPr>
          <w:szCs w:val="24"/>
          <w:lang w:val="ru-RU"/>
        </w:rPr>
        <w:t>степеням</w:t>
      </w:r>
      <w:r w:rsidRPr="0037351D">
        <w:rPr>
          <w:szCs w:val="24"/>
          <w:lang w:val="ru-RU"/>
        </w:rPr>
        <w:t xml:space="preserve"> тяжести астмы варьировал</w:t>
      </w:r>
      <w:r w:rsidR="00101B1E" w:rsidRPr="0037351D">
        <w:rPr>
          <w:szCs w:val="24"/>
          <w:lang w:val="ru-RU"/>
        </w:rPr>
        <w:t>ись</w:t>
      </w:r>
      <w:r w:rsidRPr="0037351D">
        <w:rPr>
          <w:szCs w:val="24"/>
          <w:lang w:val="ru-RU"/>
        </w:rPr>
        <w:t xml:space="preserve"> от 2,0</w:t>
      </w:r>
      <w:r w:rsidR="009C701B" w:rsidRPr="0037351D">
        <w:rPr>
          <w:szCs w:val="24"/>
          <w:lang w:val="ru-RU"/>
        </w:rPr>
        <w:t> </w:t>
      </w:r>
      <w:r w:rsidRPr="0037351D">
        <w:rPr>
          <w:szCs w:val="24"/>
          <w:lang w:val="ru-RU"/>
        </w:rPr>
        <w:t>до 2,9</w:t>
      </w:r>
      <w:r w:rsidR="009C701B" w:rsidRPr="0037351D">
        <w:rPr>
          <w:szCs w:val="24"/>
          <w:lang w:val="ru-RU"/>
        </w:rPr>
        <w:t> </w:t>
      </w:r>
      <w:r w:rsidRPr="0037351D">
        <w:rPr>
          <w:szCs w:val="24"/>
          <w:lang w:val="ru-RU"/>
        </w:rPr>
        <w:t>на 100</w:t>
      </w:r>
      <w:r w:rsidR="009C701B" w:rsidRPr="0037351D">
        <w:rPr>
          <w:szCs w:val="24"/>
          <w:lang w:val="ru-RU"/>
        </w:rPr>
        <w:t> </w:t>
      </w:r>
      <w:r w:rsidRPr="0037351D">
        <w:rPr>
          <w:szCs w:val="24"/>
          <w:lang w:val="ru-RU"/>
        </w:rPr>
        <w:t>беременностей, подвергшихся воздействию флутиказона пропионата, что сопоставимо</w:t>
      </w:r>
      <w:r w:rsidR="00523725" w:rsidRPr="0037351D">
        <w:rPr>
          <w:szCs w:val="24"/>
          <w:lang w:val="ru-RU"/>
        </w:rPr>
        <w:t xml:space="preserve"> с результатами исследования 15</w:t>
      </w:r>
      <w:r w:rsidRPr="0037351D">
        <w:rPr>
          <w:szCs w:val="24"/>
          <w:lang w:val="ru-RU"/>
        </w:rPr>
        <w:t>840</w:t>
      </w:r>
      <w:r w:rsidR="009C701B" w:rsidRPr="0037351D">
        <w:rPr>
          <w:szCs w:val="24"/>
          <w:lang w:val="ru-RU"/>
        </w:rPr>
        <w:t> </w:t>
      </w:r>
      <w:r w:rsidRPr="0037351D">
        <w:rPr>
          <w:szCs w:val="24"/>
          <w:lang w:val="ru-RU"/>
        </w:rPr>
        <w:t>беременностей, не подвергавшихся лечению астмы в базе данных исследований общей практики (2,8</w:t>
      </w:r>
      <w:r w:rsidR="009C701B" w:rsidRPr="0037351D">
        <w:rPr>
          <w:szCs w:val="24"/>
          <w:lang w:val="ru-RU"/>
        </w:rPr>
        <w:t> </w:t>
      </w:r>
      <w:r w:rsidR="00101B1E" w:rsidRPr="0037351D">
        <w:rPr>
          <w:szCs w:val="24"/>
          <w:lang w:val="ru-RU"/>
        </w:rPr>
        <w:t>крупных</w:t>
      </w:r>
      <w:r w:rsidRPr="0037351D">
        <w:rPr>
          <w:szCs w:val="24"/>
          <w:lang w:val="ru-RU"/>
        </w:rPr>
        <w:t xml:space="preserve"> врожденных порока развития на 100</w:t>
      </w:r>
      <w:r w:rsidR="009C701B" w:rsidRPr="0037351D">
        <w:rPr>
          <w:szCs w:val="24"/>
          <w:lang w:val="ru-RU"/>
        </w:rPr>
        <w:t> </w:t>
      </w:r>
      <w:r w:rsidRPr="0037351D">
        <w:rPr>
          <w:szCs w:val="24"/>
          <w:lang w:val="ru-RU"/>
        </w:rPr>
        <w:t>беременностей).</w:t>
      </w:r>
    </w:p>
    <w:p w14:paraId="5C741ADE" w14:textId="0D32A557" w:rsidR="00122122" w:rsidRPr="0037351D" w:rsidRDefault="00122122" w:rsidP="00A3433A">
      <w:pPr>
        <w:ind w:right="-1"/>
        <w:contextualSpacing/>
        <w:jc w:val="both"/>
        <w:rPr>
          <w:i/>
          <w:szCs w:val="24"/>
          <w:lang w:val="ru-RU"/>
        </w:rPr>
      </w:pPr>
      <w:r w:rsidRPr="0037351D">
        <w:rPr>
          <w:i/>
          <w:szCs w:val="24"/>
          <w:lang w:val="ru-RU"/>
        </w:rPr>
        <w:t>Фармакокинетика</w:t>
      </w:r>
    </w:p>
    <w:p w14:paraId="6D37AADC" w14:textId="7FB2D03C" w:rsidR="00122122" w:rsidRPr="0037351D" w:rsidRDefault="00122122" w:rsidP="00A3433A">
      <w:pPr>
        <w:ind w:right="-1"/>
        <w:contextualSpacing/>
        <w:jc w:val="both"/>
        <w:rPr>
          <w:szCs w:val="24"/>
          <w:lang w:val="ru-RU" w:eastAsia="ru-RU"/>
        </w:rPr>
      </w:pPr>
      <w:r w:rsidRPr="0037351D">
        <w:rPr>
          <w:szCs w:val="24"/>
          <w:lang w:val="ru-RU" w:eastAsia="ru-RU"/>
        </w:rPr>
        <w:t>В результате ингаляционного применения системная доступность небулизированного фл</w:t>
      </w:r>
      <w:r w:rsidR="005B0715" w:rsidRPr="0037351D">
        <w:rPr>
          <w:szCs w:val="24"/>
          <w:lang w:val="ru-RU" w:eastAsia="ru-RU"/>
        </w:rPr>
        <w:t>у</w:t>
      </w:r>
      <w:r w:rsidRPr="0037351D">
        <w:rPr>
          <w:szCs w:val="24"/>
          <w:lang w:val="ru-RU" w:eastAsia="ru-RU"/>
        </w:rPr>
        <w:t>тиказона пропионата у здоровых добровольцев ожидается на уровне 8</w:t>
      </w:r>
      <w:r w:rsidR="009C701B" w:rsidRPr="0037351D">
        <w:rPr>
          <w:szCs w:val="24"/>
          <w:lang w:val="ru-RU" w:eastAsia="ru-RU"/>
        </w:rPr>
        <w:t> </w:t>
      </w:r>
      <w:r w:rsidRPr="0037351D">
        <w:rPr>
          <w:szCs w:val="24"/>
          <w:lang w:val="ru-RU" w:eastAsia="ru-RU"/>
        </w:rPr>
        <w:t>% по сравнению с 26</w:t>
      </w:r>
      <w:r w:rsidR="009C701B" w:rsidRPr="0037351D">
        <w:rPr>
          <w:szCs w:val="24"/>
          <w:lang w:val="ru-RU" w:eastAsia="ru-RU"/>
        </w:rPr>
        <w:t> </w:t>
      </w:r>
      <w:r w:rsidRPr="0037351D">
        <w:rPr>
          <w:szCs w:val="24"/>
          <w:lang w:val="ru-RU" w:eastAsia="ru-RU"/>
        </w:rPr>
        <w:t>% для таковой при применении препарата в форме дозированного ингалятора. Системная абсорбция осуществляется главным образом через дыхательную систему, сначала быстро, затем в течение длительного времени. Остаток ингаляционной дозы во рту может проглатываться.</w:t>
      </w:r>
    </w:p>
    <w:p w14:paraId="0BA2AF90" w14:textId="22662B08" w:rsidR="00122122" w:rsidRPr="0037351D" w:rsidRDefault="00122122" w:rsidP="00A3433A">
      <w:pPr>
        <w:ind w:right="-1"/>
        <w:contextualSpacing/>
        <w:jc w:val="both"/>
        <w:rPr>
          <w:szCs w:val="24"/>
          <w:lang w:val="ru-RU" w:eastAsia="ru-RU"/>
        </w:rPr>
      </w:pPr>
      <w:r w:rsidRPr="0037351D">
        <w:rPr>
          <w:szCs w:val="24"/>
          <w:lang w:val="ru-RU" w:eastAsia="ru-RU"/>
        </w:rPr>
        <w:t>Абсолютная пероральная биодоступность очень незначительна (˂</w:t>
      </w:r>
      <w:r w:rsidR="009C701B" w:rsidRPr="0037351D">
        <w:rPr>
          <w:szCs w:val="24"/>
          <w:lang w:val="ru-RU" w:eastAsia="ru-RU"/>
        </w:rPr>
        <w:t> </w:t>
      </w:r>
      <w:r w:rsidRPr="0037351D">
        <w:rPr>
          <w:szCs w:val="24"/>
          <w:lang w:val="ru-RU" w:eastAsia="ru-RU"/>
        </w:rPr>
        <w:t>1</w:t>
      </w:r>
      <w:r w:rsidR="009C701B" w:rsidRPr="0037351D">
        <w:rPr>
          <w:szCs w:val="24"/>
          <w:lang w:val="ru-RU" w:eastAsia="ru-RU"/>
        </w:rPr>
        <w:t> </w:t>
      </w:r>
      <w:r w:rsidRPr="0037351D">
        <w:rPr>
          <w:szCs w:val="24"/>
          <w:lang w:val="ru-RU" w:eastAsia="ru-RU"/>
        </w:rPr>
        <w:t>%) в связи с комбинацией неполной абсорбции из пищеварительного тракта и экстенсивного метаболизма первого прохождения. 87</w:t>
      </w:r>
      <w:r w:rsidR="003B0CFB" w:rsidRPr="0037351D">
        <w:rPr>
          <w:szCs w:val="24"/>
          <w:lang w:val="ru-RU" w:eastAsia="ru-RU"/>
        </w:rPr>
        <w:t>–</w:t>
      </w:r>
      <w:r w:rsidRPr="0037351D">
        <w:rPr>
          <w:szCs w:val="24"/>
          <w:lang w:val="ru-RU" w:eastAsia="ru-RU"/>
        </w:rPr>
        <w:t>100</w:t>
      </w:r>
      <w:r w:rsidR="009C701B" w:rsidRPr="0037351D">
        <w:rPr>
          <w:szCs w:val="24"/>
          <w:lang w:val="ru-RU" w:eastAsia="ru-RU"/>
        </w:rPr>
        <w:t> </w:t>
      </w:r>
      <w:r w:rsidRPr="0037351D">
        <w:rPr>
          <w:szCs w:val="24"/>
          <w:lang w:val="ru-RU" w:eastAsia="ru-RU"/>
        </w:rPr>
        <w:t>% перорально</w:t>
      </w:r>
      <w:r w:rsidR="003B0CFB" w:rsidRPr="0037351D">
        <w:rPr>
          <w:szCs w:val="24"/>
          <w:lang w:val="ru-RU" w:eastAsia="ru-RU"/>
        </w:rPr>
        <w:t>й дозы выводится с калом, до 75</w:t>
      </w:r>
      <w:r w:rsidR="009C701B" w:rsidRPr="0037351D">
        <w:rPr>
          <w:szCs w:val="24"/>
          <w:lang w:val="ru-RU" w:eastAsia="ru-RU"/>
        </w:rPr>
        <w:t> </w:t>
      </w:r>
      <w:r w:rsidRPr="0037351D">
        <w:rPr>
          <w:szCs w:val="24"/>
          <w:lang w:val="ru-RU" w:eastAsia="ru-RU"/>
        </w:rPr>
        <w:t>% в виде первоначального компонента, а также неактивного основного метаболита.</w:t>
      </w:r>
    </w:p>
    <w:p w14:paraId="7B35E1AE" w14:textId="77777777" w:rsidR="008876E6" w:rsidRPr="0037351D" w:rsidRDefault="008876E6" w:rsidP="00A3433A">
      <w:pPr>
        <w:ind w:right="-1"/>
        <w:contextualSpacing/>
        <w:jc w:val="both"/>
        <w:rPr>
          <w:szCs w:val="24"/>
          <w:lang w:val="ru-RU" w:eastAsia="ru-RU"/>
        </w:rPr>
      </w:pPr>
      <w:r w:rsidRPr="0037351D">
        <w:rPr>
          <w:szCs w:val="24"/>
          <w:lang w:val="ru-RU" w:eastAsia="ru-RU"/>
        </w:rPr>
        <w:t>После внутривенного введения флутиказона пропионат широко распределяется в организме. Очень высокий показатель клиренса указы</w:t>
      </w:r>
      <w:r w:rsidR="00797726" w:rsidRPr="0037351D">
        <w:rPr>
          <w:szCs w:val="24"/>
          <w:lang w:val="ru-RU" w:eastAsia="ru-RU"/>
        </w:rPr>
        <w:t>вает на обширный клиренс печени</w:t>
      </w:r>
      <w:r w:rsidR="00ED73AD" w:rsidRPr="0037351D">
        <w:rPr>
          <w:szCs w:val="24"/>
          <w:lang w:val="ru-RU" w:eastAsia="ru-RU"/>
        </w:rPr>
        <w:t>.</w:t>
      </w:r>
    </w:p>
    <w:p w14:paraId="5D1FBD28" w14:textId="77777777" w:rsidR="00122122" w:rsidRPr="0037351D" w:rsidRDefault="00122122" w:rsidP="00A3433A">
      <w:pPr>
        <w:ind w:right="-1"/>
        <w:contextualSpacing/>
        <w:jc w:val="both"/>
        <w:rPr>
          <w:szCs w:val="24"/>
          <w:u w:val="single"/>
          <w:lang w:val="ru-RU" w:eastAsia="ru-RU"/>
        </w:rPr>
      </w:pPr>
      <w:r w:rsidRPr="0037351D">
        <w:rPr>
          <w:szCs w:val="24"/>
          <w:u w:val="single"/>
          <w:lang w:val="ru-RU" w:eastAsia="ru-RU"/>
        </w:rPr>
        <w:t>Данные о безопасности препарата</w:t>
      </w:r>
    </w:p>
    <w:p w14:paraId="25A88591" w14:textId="77777777" w:rsidR="003B0CFB" w:rsidRPr="0037351D" w:rsidRDefault="00122122" w:rsidP="00A3433A">
      <w:pPr>
        <w:ind w:right="-1"/>
        <w:contextualSpacing/>
        <w:jc w:val="both"/>
        <w:rPr>
          <w:szCs w:val="24"/>
          <w:lang w:val="ru-RU" w:eastAsia="ru-RU"/>
        </w:rPr>
      </w:pPr>
      <w:r w:rsidRPr="0037351D">
        <w:rPr>
          <w:szCs w:val="24"/>
          <w:lang w:val="ru-RU" w:eastAsia="ru-RU"/>
        </w:rPr>
        <w:t>Токсикологические исследования показали наличие типичных для сильных кортикостероидов эффектов, но в дозах, во много раз превышающ</w:t>
      </w:r>
      <w:r w:rsidR="00797726" w:rsidRPr="0037351D">
        <w:rPr>
          <w:szCs w:val="24"/>
          <w:lang w:val="ru-RU" w:eastAsia="ru-RU"/>
        </w:rPr>
        <w:t>ие</w:t>
      </w:r>
      <w:r w:rsidRPr="0037351D">
        <w:rPr>
          <w:szCs w:val="24"/>
          <w:lang w:val="ru-RU" w:eastAsia="ru-RU"/>
        </w:rPr>
        <w:t xml:space="preserve"> показанные для терапевтического применения. В ходе исследований влияния препарата на репродуктивную функцию и наличия тератогенных свойств препарата новых данных обнаружено не было. Фл</w:t>
      </w:r>
      <w:r w:rsidR="005B0715" w:rsidRPr="0037351D">
        <w:rPr>
          <w:szCs w:val="24"/>
          <w:lang w:val="ru-RU" w:eastAsia="ru-RU"/>
        </w:rPr>
        <w:t>у</w:t>
      </w:r>
      <w:r w:rsidRPr="0037351D">
        <w:rPr>
          <w:szCs w:val="24"/>
          <w:lang w:val="ru-RU" w:eastAsia="ru-RU"/>
        </w:rPr>
        <w:t xml:space="preserve">тиказона пропионат не проявляет мутагенной активности </w:t>
      </w:r>
      <w:r w:rsidRPr="0037351D">
        <w:rPr>
          <w:i/>
          <w:iCs/>
          <w:szCs w:val="24"/>
          <w:lang w:val="ru-RU" w:eastAsia="ru-RU"/>
        </w:rPr>
        <w:t>in vitro</w:t>
      </w:r>
      <w:r w:rsidRPr="0037351D">
        <w:rPr>
          <w:szCs w:val="24"/>
          <w:lang w:val="ru-RU" w:eastAsia="ru-RU"/>
        </w:rPr>
        <w:t xml:space="preserve"> и </w:t>
      </w:r>
      <w:r w:rsidRPr="0037351D">
        <w:rPr>
          <w:i/>
          <w:iCs/>
          <w:szCs w:val="24"/>
          <w:lang w:val="ru-RU" w:eastAsia="ru-RU"/>
        </w:rPr>
        <w:t>in vivo</w:t>
      </w:r>
      <w:r w:rsidRPr="0037351D">
        <w:rPr>
          <w:szCs w:val="24"/>
          <w:lang w:val="ru-RU" w:eastAsia="ru-RU"/>
        </w:rPr>
        <w:t>. Опыты на животных показали отсутствие канцерогенного потенциала в препарате. Он также не имеет раздражающих и сенсибилизирующих свойств.</w:t>
      </w:r>
    </w:p>
    <w:p w14:paraId="4D18E3F1" w14:textId="55B8E121" w:rsidR="00686703" w:rsidRPr="0037351D" w:rsidRDefault="00B65524"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Были проведены</w:t>
      </w:r>
      <w:r w:rsidR="00686703" w:rsidRPr="0037351D">
        <w:rPr>
          <w:rFonts w:ascii="Times New Roman" w:hAnsi="Times New Roman"/>
          <w:color w:val="auto"/>
          <w:sz w:val="24"/>
          <w:szCs w:val="24"/>
          <w:lang w:val="ru-RU"/>
        </w:rPr>
        <w:t xml:space="preserve"> исследования</w:t>
      </w:r>
      <w:r w:rsidRPr="0037351D">
        <w:rPr>
          <w:rFonts w:ascii="Times New Roman" w:hAnsi="Times New Roman"/>
          <w:color w:val="auto"/>
          <w:sz w:val="24"/>
          <w:szCs w:val="24"/>
          <w:lang w:val="ru-RU"/>
        </w:rPr>
        <w:t xml:space="preserve"> токсического действия на развитие эмбриона и плода у животных, в</w:t>
      </w:r>
      <w:r w:rsidR="00D14F80" w:rsidRPr="0037351D">
        <w:rPr>
          <w:rFonts w:ascii="Times New Roman" w:hAnsi="Times New Roman"/>
          <w:color w:val="auto"/>
          <w:sz w:val="24"/>
          <w:szCs w:val="24"/>
          <w:lang w:val="ru-RU"/>
        </w:rPr>
        <w:t xml:space="preserve"> подкожных</w:t>
      </w:r>
      <w:r w:rsidRPr="0037351D">
        <w:rPr>
          <w:rFonts w:ascii="Times New Roman" w:hAnsi="Times New Roman"/>
          <w:color w:val="auto"/>
          <w:sz w:val="24"/>
          <w:szCs w:val="24"/>
          <w:lang w:val="ru-RU"/>
        </w:rPr>
        <w:t xml:space="preserve"> дозах, которые вызывали материнскую токсичность. Исследование проводилось на мышах и крысах в дозе 45</w:t>
      </w:r>
      <w:r w:rsidR="009C701B" w:rsidRPr="0037351D">
        <w:rPr>
          <w:rFonts w:ascii="Times New Roman" w:hAnsi="Times New Roman"/>
          <w:color w:val="auto"/>
          <w:sz w:val="24"/>
          <w:szCs w:val="24"/>
          <w:lang w:val="ru-RU"/>
        </w:rPr>
        <w:t> </w:t>
      </w:r>
      <w:r w:rsidRPr="0037351D">
        <w:rPr>
          <w:rFonts w:ascii="Times New Roman" w:hAnsi="Times New Roman"/>
          <w:color w:val="auto"/>
          <w:sz w:val="24"/>
          <w:szCs w:val="24"/>
          <w:lang w:val="ru-RU"/>
        </w:rPr>
        <w:t>и 100</w:t>
      </w:r>
      <w:r w:rsidR="009C701B" w:rsidRPr="0037351D">
        <w:rPr>
          <w:rFonts w:ascii="Times New Roman" w:hAnsi="Times New Roman"/>
          <w:color w:val="auto"/>
          <w:sz w:val="24"/>
          <w:szCs w:val="24"/>
          <w:lang w:val="ru-RU"/>
        </w:rPr>
        <w:t> </w:t>
      </w:r>
      <w:r w:rsidRPr="0037351D">
        <w:rPr>
          <w:rFonts w:ascii="Times New Roman" w:hAnsi="Times New Roman"/>
          <w:color w:val="auto"/>
          <w:sz w:val="24"/>
          <w:szCs w:val="24"/>
          <w:lang w:val="ru-RU"/>
        </w:rPr>
        <w:t>мкг/кг соответственно (приблизительно в 4</w:t>
      </w:r>
      <w:r w:rsidR="009C701B" w:rsidRPr="0037351D">
        <w:rPr>
          <w:rFonts w:ascii="Times New Roman" w:hAnsi="Times New Roman"/>
          <w:color w:val="auto"/>
          <w:sz w:val="24"/>
          <w:szCs w:val="24"/>
          <w:lang w:val="ru-RU"/>
        </w:rPr>
        <w:t> </w:t>
      </w:r>
      <w:r w:rsidRPr="0037351D">
        <w:rPr>
          <w:rFonts w:ascii="Times New Roman" w:hAnsi="Times New Roman"/>
          <w:color w:val="auto"/>
          <w:sz w:val="24"/>
          <w:szCs w:val="24"/>
          <w:lang w:val="ru-RU"/>
        </w:rPr>
        <w:t>и 6</w:t>
      </w:r>
      <w:r w:rsidR="009C701B" w:rsidRPr="0037351D">
        <w:rPr>
          <w:rFonts w:ascii="Times New Roman" w:hAnsi="Times New Roman"/>
          <w:color w:val="auto"/>
          <w:sz w:val="24"/>
          <w:szCs w:val="24"/>
          <w:lang w:val="ru-RU"/>
        </w:rPr>
        <w:t> </w:t>
      </w:r>
      <w:r w:rsidRPr="0037351D">
        <w:rPr>
          <w:rFonts w:ascii="Times New Roman" w:hAnsi="Times New Roman"/>
          <w:color w:val="auto"/>
          <w:sz w:val="24"/>
          <w:szCs w:val="24"/>
          <w:lang w:val="ru-RU"/>
        </w:rPr>
        <w:t>раз превышает максимальную рекомендуемую суточную ингаляционную дозу 500</w:t>
      </w:r>
      <w:r w:rsidR="009C701B" w:rsidRPr="0037351D">
        <w:rPr>
          <w:rFonts w:ascii="Times New Roman" w:hAnsi="Times New Roman"/>
          <w:color w:val="auto"/>
          <w:sz w:val="24"/>
          <w:szCs w:val="24"/>
          <w:lang w:val="ru-RU"/>
        </w:rPr>
        <w:t> </w:t>
      </w:r>
      <w:r w:rsidRPr="0037351D">
        <w:rPr>
          <w:rFonts w:ascii="Times New Roman" w:hAnsi="Times New Roman"/>
          <w:color w:val="auto"/>
          <w:sz w:val="24"/>
          <w:szCs w:val="24"/>
          <w:lang w:val="ru-RU"/>
        </w:rPr>
        <w:t>мкг два раза в день у взрослых на основе уровней в плазме мышей и крыс 486</w:t>
      </w:r>
      <w:r w:rsidR="009C701B" w:rsidRPr="0037351D">
        <w:rPr>
          <w:rFonts w:ascii="Times New Roman" w:hAnsi="Times New Roman"/>
          <w:color w:val="auto"/>
          <w:sz w:val="24"/>
          <w:szCs w:val="24"/>
          <w:lang w:val="ru-RU"/>
        </w:rPr>
        <w:t> </w:t>
      </w:r>
      <w:r w:rsidRPr="0037351D">
        <w:rPr>
          <w:rFonts w:ascii="Times New Roman" w:hAnsi="Times New Roman"/>
          <w:color w:val="auto"/>
          <w:sz w:val="24"/>
          <w:szCs w:val="24"/>
          <w:lang w:val="ru-RU"/>
        </w:rPr>
        <w:t>и 710</w:t>
      </w:r>
      <w:r w:rsidR="009C701B" w:rsidRPr="0037351D">
        <w:rPr>
          <w:rFonts w:ascii="Times New Roman" w:hAnsi="Times New Roman"/>
          <w:color w:val="auto"/>
          <w:sz w:val="24"/>
          <w:szCs w:val="24"/>
          <w:lang w:val="ru-RU"/>
        </w:rPr>
        <w:t> </w:t>
      </w:r>
      <w:r w:rsidRPr="0037351D">
        <w:rPr>
          <w:rFonts w:ascii="Times New Roman" w:hAnsi="Times New Roman"/>
          <w:color w:val="auto"/>
          <w:sz w:val="24"/>
          <w:szCs w:val="24"/>
          <w:lang w:val="ru-RU"/>
        </w:rPr>
        <w:t xml:space="preserve">пг/мл, соответственно), </w:t>
      </w:r>
      <w:r w:rsidR="00D14F80" w:rsidRPr="0037351D">
        <w:rPr>
          <w:rFonts w:ascii="Times New Roman" w:hAnsi="Times New Roman"/>
          <w:color w:val="auto"/>
          <w:sz w:val="24"/>
          <w:szCs w:val="24"/>
          <w:lang w:val="ru-RU"/>
        </w:rPr>
        <w:t>результат которого свидетельствовал о</w:t>
      </w:r>
      <w:r w:rsidRPr="0037351D">
        <w:rPr>
          <w:rFonts w:ascii="Times New Roman" w:hAnsi="Times New Roman"/>
          <w:color w:val="auto"/>
          <w:sz w:val="24"/>
          <w:szCs w:val="24"/>
          <w:lang w:val="ru-RU"/>
        </w:rPr>
        <w:t xml:space="preserve"> токсическом действи</w:t>
      </w:r>
      <w:r w:rsidR="00D14F80" w:rsidRPr="0037351D">
        <w:rPr>
          <w:rFonts w:ascii="Times New Roman" w:hAnsi="Times New Roman"/>
          <w:color w:val="auto"/>
          <w:sz w:val="24"/>
          <w:szCs w:val="24"/>
          <w:lang w:val="ru-RU"/>
        </w:rPr>
        <w:t>и</w:t>
      </w:r>
      <w:r w:rsidRPr="0037351D">
        <w:rPr>
          <w:rFonts w:ascii="Times New Roman" w:hAnsi="Times New Roman"/>
          <w:color w:val="auto"/>
          <w:sz w:val="24"/>
          <w:szCs w:val="24"/>
          <w:lang w:val="ru-RU"/>
        </w:rPr>
        <w:t>, характерном для сильнодействующ</w:t>
      </w:r>
      <w:r w:rsidR="008921B3" w:rsidRPr="0037351D">
        <w:rPr>
          <w:rFonts w:ascii="Times New Roman" w:hAnsi="Times New Roman"/>
          <w:color w:val="auto"/>
          <w:sz w:val="24"/>
          <w:szCs w:val="24"/>
          <w:lang w:val="ru-RU"/>
        </w:rPr>
        <w:t>их</w:t>
      </w:r>
      <w:r w:rsidRPr="0037351D">
        <w:rPr>
          <w:rFonts w:ascii="Times New Roman" w:hAnsi="Times New Roman"/>
          <w:color w:val="auto"/>
          <w:sz w:val="24"/>
          <w:szCs w:val="24"/>
          <w:lang w:val="ru-RU"/>
        </w:rPr>
        <w:t xml:space="preserve"> кортикостероид</w:t>
      </w:r>
      <w:r w:rsidR="008921B3" w:rsidRPr="0037351D">
        <w:rPr>
          <w:rFonts w:ascii="Times New Roman" w:hAnsi="Times New Roman"/>
          <w:color w:val="auto"/>
          <w:sz w:val="24"/>
          <w:szCs w:val="24"/>
          <w:lang w:val="ru-RU"/>
        </w:rPr>
        <w:t>ов</w:t>
      </w:r>
      <w:r w:rsidRPr="0037351D">
        <w:rPr>
          <w:rFonts w:ascii="Times New Roman" w:hAnsi="Times New Roman"/>
          <w:color w:val="auto"/>
          <w:sz w:val="24"/>
          <w:szCs w:val="24"/>
          <w:lang w:val="ru-RU"/>
        </w:rPr>
        <w:t>, включая расщелину нёба и замедление роста эмбриона и плода.</w:t>
      </w:r>
    </w:p>
    <w:p w14:paraId="4EED6D57" w14:textId="4D279D96" w:rsidR="00797726" w:rsidRPr="0037351D" w:rsidRDefault="002A7B1B" w:rsidP="00A3433A">
      <w:pPr>
        <w:ind w:right="-1"/>
        <w:jc w:val="both"/>
        <w:rPr>
          <w:szCs w:val="24"/>
          <w:lang w:val="ru-RU"/>
        </w:rPr>
      </w:pPr>
      <w:r w:rsidRPr="0037351D">
        <w:rPr>
          <w:szCs w:val="24"/>
          <w:lang w:val="ru-RU"/>
        </w:rPr>
        <w:t>Уровень, не вызывающий отрицательных эффектов</w:t>
      </w:r>
      <w:r w:rsidR="00BE5A28" w:rsidRPr="0037351D">
        <w:rPr>
          <w:szCs w:val="24"/>
          <w:lang w:val="ru-RU"/>
        </w:rPr>
        <w:t xml:space="preserve"> </w:t>
      </w:r>
      <w:r w:rsidR="0063197B" w:rsidRPr="0037351D">
        <w:rPr>
          <w:szCs w:val="24"/>
          <w:lang w:val="ru-RU"/>
        </w:rPr>
        <w:t xml:space="preserve">для этих результатов </w:t>
      </w:r>
      <w:r w:rsidR="00077DE2" w:rsidRPr="0037351D">
        <w:rPr>
          <w:szCs w:val="24"/>
          <w:lang w:val="ru-RU"/>
        </w:rPr>
        <w:t>у крыс,</w:t>
      </w:r>
      <w:r w:rsidR="0063197B" w:rsidRPr="0037351D">
        <w:rPr>
          <w:szCs w:val="24"/>
          <w:lang w:val="ru-RU"/>
        </w:rPr>
        <w:t xml:space="preserve"> был связан с системным воздействием, примерно в 3</w:t>
      </w:r>
      <w:r w:rsidR="009C701B" w:rsidRPr="0037351D">
        <w:rPr>
          <w:szCs w:val="24"/>
          <w:lang w:val="ru-RU"/>
        </w:rPr>
        <w:t> </w:t>
      </w:r>
      <w:r w:rsidR="0063197B" w:rsidRPr="0037351D">
        <w:rPr>
          <w:szCs w:val="24"/>
          <w:lang w:val="ru-RU"/>
        </w:rPr>
        <w:t xml:space="preserve">раза превышающим клиническое воздействие, </w:t>
      </w:r>
      <w:r w:rsidR="0063197B" w:rsidRPr="0037351D">
        <w:rPr>
          <w:szCs w:val="24"/>
          <w:lang w:val="ru-RU"/>
        </w:rPr>
        <w:lastRenderedPageBreak/>
        <w:t>основанное</w:t>
      </w:r>
      <w:r w:rsidRPr="0037351D">
        <w:rPr>
          <w:szCs w:val="24"/>
          <w:lang w:val="ru-RU"/>
        </w:rPr>
        <w:t xml:space="preserve"> на уровне в плазме крыс 310</w:t>
      </w:r>
      <w:r w:rsidR="00D122EB" w:rsidRPr="0037351D">
        <w:rPr>
          <w:szCs w:val="24"/>
          <w:lang w:val="ru-RU"/>
        </w:rPr>
        <w:t> </w:t>
      </w:r>
      <w:r w:rsidRPr="0037351D">
        <w:rPr>
          <w:szCs w:val="24"/>
          <w:lang w:val="ru-RU"/>
        </w:rPr>
        <w:t>пг/</w:t>
      </w:r>
      <w:r w:rsidR="0063197B" w:rsidRPr="0037351D">
        <w:rPr>
          <w:szCs w:val="24"/>
          <w:lang w:val="ru-RU"/>
        </w:rPr>
        <w:t>мл. У кролик</w:t>
      </w:r>
      <w:r w:rsidR="00BE5A28" w:rsidRPr="0037351D">
        <w:rPr>
          <w:szCs w:val="24"/>
          <w:lang w:val="ru-RU"/>
        </w:rPr>
        <w:t>ов</w:t>
      </w:r>
      <w:r w:rsidR="0063197B" w:rsidRPr="0037351D">
        <w:rPr>
          <w:szCs w:val="24"/>
          <w:lang w:val="ru-RU"/>
        </w:rPr>
        <w:t xml:space="preserve"> снижение веса плода и </w:t>
      </w:r>
      <w:r w:rsidR="00BE5A28" w:rsidRPr="0037351D">
        <w:rPr>
          <w:szCs w:val="24"/>
          <w:lang w:val="ru-RU"/>
        </w:rPr>
        <w:t>расщелина неба</w:t>
      </w:r>
      <w:r w:rsidR="0063197B" w:rsidRPr="0037351D">
        <w:rPr>
          <w:szCs w:val="24"/>
          <w:lang w:val="ru-RU"/>
        </w:rPr>
        <w:t xml:space="preserve"> происходили при токсической </w:t>
      </w:r>
      <w:r w:rsidR="00BE5A28" w:rsidRPr="0037351D">
        <w:rPr>
          <w:szCs w:val="24"/>
          <w:lang w:val="ru-RU"/>
        </w:rPr>
        <w:t>для матери подкожной дозе 4</w:t>
      </w:r>
      <w:r w:rsidR="00D122EB" w:rsidRPr="0037351D">
        <w:rPr>
          <w:szCs w:val="24"/>
          <w:lang w:val="ru-RU"/>
        </w:rPr>
        <w:t> </w:t>
      </w:r>
      <w:r w:rsidR="00BE5A28" w:rsidRPr="0037351D">
        <w:rPr>
          <w:szCs w:val="24"/>
          <w:lang w:val="ru-RU"/>
        </w:rPr>
        <w:t>мкг/</w:t>
      </w:r>
      <w:r w:rsidR="0063197B" w:rsidRPr="0037351D">
        <w:rPr>
          <w:szCs w:val="24"/>
          <w:lang w:val="ru-RU"/>
        </w:rPr>
        <w:t>кг (менее чем в 1,4</w:t>
      </w:r>
      <w:r w:rsidR="00D122EB" w:rsidRPr="0037351D">
        <w:rPr>
          <w:szCs w:val="24"/>
          <w:lang w:val="ru-RU"/>
        </w:rPr>
        <w:t> </w:t>
      </w:r>
      <w:r w:rsidR="0063197B" w:rsidRPr="0037351D">
        <w:rPr>
          <w:szCs w:val="24"/>
          <w:lang w:val="ru-RU"/>
        </w:rPr>
        <w:t xml:space="preserve">раза от максимальной рекомендованной </w:t>
      </w:r>
      <w:r w:rsidR="00BE5A28" w:rsidRPr="0037351D">
        <w:rPr>
          <w:szCs w:val="24"/>
          <w:lang w:val="ru-RU"/>
        </w:rPr>
        <w:t>ингаляционной</w:t>
      </w:r>
      <w:r w:rsidR="0063197B" w:rsidRPr="0037351D">
        <w:rPr>
          <w:szCs w:val="24"/>
          <w:lang w:val="ru-RU"/>
        </w:rPr>
        <w:t xml:space="preserve"> дозы 500</w:t>
      </w:r>
      <w:r w:rsidR="00D122EB" w:rsidRPr="0037351D">
        <w:rPr>
          <w:szCs w:val="24"/>
          <w:lang w:val="ru-RU"/>
        </w:rPr>
        <w:t> </w:t>
      </w:r>
      <w:r w:rsidR="0063197B" w:rsidRPr="0037351D">
        <w:rPr>
          <w:szCs w:val="24"/>
          <w:lang w:val="ru-RU"/>
        </w:rPr>
        <w:t>мкг два раза в день на основе</w:t>
      </w:r>
      <w:r w:rsidRPr="0037351D">
        <w:rPr>
          <w:szCs w:val="24"/>
          <w:lang w:val="ru-RU"/>
        </w:rPr>
        <w:t xml:space="preserve"> уровня в плазме</w:t>
      </w:r>
      <w:r w:rsidR="00BE5A28" w:rsidRPr="0037351D">
        <w:rPr>
          <w:szCs w:val="24"/>
          <w:lang w:val="ru-RU"/>
        </w:rPr>
        <w:t xml:space="preserve"> у кролика</w:t>
      </w:r>
      <w:r w:rsidRPr="0037351D">
        <w:rPr>
          <w:szCs w:val="24"/>
          <w:lang w:val="ru-RU"/>
        </w:rPr>
        <w:t xml:space="preserve"> 149</w:t>
      </w:r>
      <w:r w:rsidR="00D122EB" w:rsidRPr="0037351D">
        <w:rPr>
          <w:szCs w:val="24"/>
          <w:lang w:val="ru-RU"/>
        </w:rPr>
        <w:t> </w:t>
      </w:r>
      <w:r w:rsidRPr="0037351D">
        <w:rPr>
          <w:szCs w:val="24"/>
          <w:lang w:val="ru-RU"/>
        </w:rPr>
        <w:t>пг/</w:t>
      </w:r>
      <w:r w:rsidR="0063197B" w:rsidRPr="0037351D">
        <w:rPr>
          <w:szCs w:val="24"/>
          <w:lang w:val="ru-RU"/>
        </w:rPr>
        <w:t xml:space="preserve">мл). </w:t>
      </w:r>
      <w:r w:rsidR="00D14F80" w:rsidRPr="0037351D">
        <w:rPr>
          <w:szCs w:val="24"/>
          <w:lang w:val="ru-RU"/>
        </w:rPr>
        <w:t>Однако флутиказона пропионат, вводимый крысам при ингаляции, в дозах токсичных для матерей, которые в 13</w:t>
      </w:r>
      <w:r w:rsidR="00D122EB" w:rsidRPr="0037351D">
        <w:rPr>
          <w:szCs w:val="24"/>
          <w:lang w:val="ru-RU"/>
        </w:rPr>
        <w:t> </w:t>
      </w:r>
      <w:r w:rsidR="00D14F80" w:rsidRPr="0037351D">
        <w:rPr>
          <w:szCs w:val="24"/>
          <w:lang w:val="ru-RU"/>
        </w:rPr>
        <w:t>раз превышали дозу для человека, и достигали максимальной рекомендуемой суточной ингаляционной дозы, основанной на уровне в плазме крыс 1430</w:t>
      </w:r>
      <w:r w:rsidR="00D122EB" w:rsidRPr="0037351D">
        <w:rPr>
          <w:szCs w:val="24"/>
          <w:lang w:val="ru-RU"/>
        </w:rPr>
        <w:t> </w:t>
      </w:r>
      <w:r w:rsidR="00D14F80" w:rsidRPr="0037351D">
        <w:rPr>
          <w:szCs w:val="24"/>
          <w:lang w:val="ru-RU"/>
        </w:rPr>
        <w:t>пг/мл, не вызывал тератогенности.</w:t>
      </w:r>
    </w:p>
    <w:p w14:paraId="058885D0" w14:textId="77777777" w:rsidR="003B0CFB" w:rsidRPr="0037351D" w:rsidRDefault="003B0CFB" w:rsidP="00A3433A">
      <w:pPr>
        <w:pStyle w:val="Markers"/>
        <w:spacing w:after="0" w:line="240" w:lineRule="auto"/>
        <w:ind w:right="-1"/>
        <w:contextualSpacing/>
        <w:rPr>
          <w:rFonts w:ascii="Times New Roman" w:hAnsi="Times New Roman"/>
          <w:b/>
          <w:color w:val="auto"/>
          <w:sz w:val="24"/>
          <w:szCs w:val="24"/>
          <w:lang w:val="ru-RU"/>
        </w:rPr>
      </w:pPr>
    </w:p>
    <w:p w14:paraId="618242EB" w14:textId="1FB9BDB6" w:rsidR="004F62B5" w:rsidRPr="0037351D" w:rsidRDefault="00B40551"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b/>
          <w:color w:val="auto"/>
          <w:sz w:val="24"/>
          <w:szCs w:val="24"/>
          <w:lang w:val="ru-RU"/>
        </w:rPr>
        <w:t>Показания</w:t>
      </w:r>
      <w:r w:rsidR="00DD68C8" w:rsidRPr="0037351D">
        <w:rPr>
          <w:rFonts w:ascii="Times New Roman" w:hAnsi="Times New Roman"/>
          <w:b/>
          <w:color w:val="auto"/>
          <w:sz w:val="24"/>
          <w:szCs w:val="24"/>
          <w:lang w:val="ru-RU"/>
        </w:rPr>
        <w:t xml:space="preserve"> к применению</w:t>
      </w:r>
    </w:p>
    <w:p w14:paraId="5D4E20B7" w14:textId="689DB4E2" w:rsidR="004F62B5" w:rsidRPr="0037351D" w:rsidRDefault="000D727A" w:rsidP="00A3433A">
      <w:pPr>
        <w:ind w:right="-1"/>
        <w:contextualSpacing/>
        <w:jc w:val="both"/>
        <w:rPr>
          <w:i/>
          <w:szCs w:val="24"/>
          <w:lang w:val="ru-RU" w:eastAsia="ru-RU"/>
        </w:rPr>
      </w:pPr>
      <w:r w:rsidRPr="0037351D">
        <w:rPr>
          <w:i/>
          <w:szCs w:val="24"/>
          <w:lang w:val="ru-RU" w:eastAsia="ru-RU"/>
        </w:rPr>
        <w:t xml:space="preserve">Взрослые и </w:t>
      </w:r>
      <w:r w:rsidR="004F62B5" w:rsidRPr="0037351D">
        <w:rPr>
          <w:i/>
          <w:szCs w:val="24"/>
          <w:lang w:val="ru-RU" w:eastAsia="ru-RU"/>
        </w:rPr>
        <w:t>дети в возрасте от 16</w:t>
      </w:r>
      <w:r w:rsidR="00D122EB" w:rsidRPr="0037351D">
        <w:rPr>
          <w:i/>
          <w:szCs w:val="24"/>
          <w:lang w:val="ru-RU" w:eastAsia="ru-RU"/>
        </w:rPr>
        <w:t> </w:t>
      </w:r>
      <w:r w:rsidR="004F62B5" w:rsidRPr="0037351D">
        <w:rPr>
          <w:i/>
          <w:szCs w:val="24"/>
          <w:lang w:val="ru-RU" w:eastAsia="ru-RU"/>
        </w:rPr>
        <w:t>лет</w:t>
      </w:r>
    </w:p>
    <w:p w14:paraId="1949E32D" w14:textId="77777777" w:rsidR="004F62B5" w:rsidRPr="0037351D" w:rsidRDefault="004F62B5" w:rsidP="00A3433A">
      <w:pPr>
        <w:ind w:right="-1"/>
        <w:contextualSpacing/>
        <w:jc w:val="both"/>
        <w:rPr>
          <w:szCs w:val="24"/>
          <w:lang w:val="ru-RU" w:eastAsia="ru-RU"/>
        </w:rPr>
      </w:pPr>
      <w:r w:rsidRPr="0037351D">
        <w:rPr>
          <w:szCs w:val="24"/>
          <w:lang w:val="ru-RU" w:eastAsia="ru-RU"/>
        </w:rPr>
        <w:t>Профилактическое применение при тяжелой степени астмы у пациентов, нуждающихся в высоких дозах ингаляционных или пероральных кортикостероидов. Пациентам, которые лечатся высокими дозами пероральных кортикостероидов, для уменьшения или исключения перорального применения кортикостероидов.</w:t>
      </w:r>
    </w:p>
    <w:p w14:paraId="429CEEE5" w14:textId="0EE5653F" w:rsidR="004F62B5" w:rsidRPr="0037351D" w:rsidRDefault="004F62B5" w:rsidP="00A3433A">
      <w:pPr>
        <w:ind w:right="-1"/>
        <w:contextualSpacing/>
        <w:jc w:val="both"/>
        <w:rPr>
          <w:i/>
          <w:szCs w:val="24"/>
          <w:lang w:val="ru-RU" w:eastAsia="ru-RU"/>
        </w:rPr>
      </w:pPr>
      <w:r w:rsidRPr="0037351D">
        <w:rPr>
          <w:i/>
          <w:szCs w:val="24"/>
          <w:lang w:val="ru-RU" w:eastAsia="ru-RU"/>
        </w:rPr>
        <w:t>Дети в возрасте от 4</w:t>
      </w:r>
      <w:r w:rsidR="00D122EB" w:rsidRPr="0037351D">
        <w:rPr>
          <w:i/>
          <w:szCs w:val="24"/>
          <w:lang w:val="ru-RU" w:eastAsia="ru-RU"/>
        </w:rPr>
        <w:t> </w:t>
      </w:r>
      <w:r w:rsidRPr="0037351D">
        <w:rPr>
          <w:i/>
          <w:szCs w:val="24"/>
          <w:lang w:val="ru-RU" w:eastAsia="ru-RU"/>
        </w:rPr>
        <w:t>до 16</w:t>
      </w:r>
      <w:r w:rsidR="00D122EB" w:rsidRPr="0037351D">
        <w:rPr>
          <w:i/>
          <w:szCs w:val="24"/>
          <w:lang w:val="ru-RU" w:eastAsia="ru-RU"/>
        </w:rPr>
        <w:t> </w:t>
      </w:r>
      <w:r w:rsidRPr="0037351D">
        <w:rPr>
          <w:i/>
          <w:szCs w:val="24"/>
          <w:lang w:val="ru-RU" w:eastAsia="ru-RU"/>
        </w:rPr>
        <w:t>лет</w:t>
      </w:r>
    </w:p>
    <w:p w14:paraId="19858DDA" w14:textId="77777777" w:rsidR="004F62B5" w:rsidRPr="0037351D" w:rsidRDefault="004F62B5" w:rsidP="00A3433A">
      <w:pPr>
        <w:pStyle w:val="a3"/>
        <w:tabs>
          <w:tab w:val="left" w:pos="360"/>
        </w:tabs>
        <w:ind w:left="0" w:right="-1"/>
        <w:jc w:val="both"/>
        <w:rPr>
          <w:szCs w:val="24"/>
          <w:lang w:val="ru-RU"/>
        </w:rPr>
      </w:pPr>
      <w:r w:rsidRPr="0037351D">
        <w:rPr>
          <w:szCs w:val="24"/>
          <w:lang w:val="ru-RU"/>
        </w:rPr>
        <w:t>Лечение обострений астмы. Соответствующая поддерживающая терапия может дополняться использованием дозированного аэрозольного или порошкового ингалятора.</w:t>
      </w:r>
    </w:p>
    <w:p w14:paraId="339FA2B0" w14:textId="77777777" w:rsidR="004F62B5" w:rsidRPr="0037351D" w:rsidRDefault="004F62B5" w:rsidP="00A3433A">
      <w:pPr>
        <w:ind w:right="-1"/>
        <w:contextualSpacing/>
        <w:jc w:val="both"/>
        <w:rPr>
          <w:szCs w:val="24"/>
          <w:lang w:val="ru-RU"/>
        </w:rPr>
      </w:pPr>
      <w:r w:rsidRPr="0037351D">
        <w:rPr>
          <w:szCs w:val="24"/>
          <w:lang w:val="ru-RU"/>
        </w:rPr>
        <w:t>Ингаляционный фл</w:t>
      </w:r>
      <w:r w:rsidR="005B0715" w:rsidRPr="0037351D">
        <w:rPr>
          <w:szCs w:val="24"/>
          <w:lang w:val="ru-RU"/>
        </w:rPr>
        <w:t>у</w:t>
      </w:r>
      <w:r w:rsidRPr="0037351D">
        <w:rPr>
          <w:szCs w:val="24"/>
          <w:lang w:val="ru-RU"/>
        </w:rPr>
        <w:t>тиказона пропионат оказывает мощное глюкокортикоидное противовоспалительное действие в легких. Он уменьшает симптомы и обострение астмы у пациентов, которые ранее лечились только бронходилататорами или в совокупности с другими профилактическими препаратами. Короткие симптоматические эпизоды обострения могут в целом облегчаться при применении быстродействующих бронходилататоров,</w:t>
      </w:r>
      <w:r w:rsidR="000D727A" w:rsidRPr="0037351D">
        <w:rPr>
          <w:szCs w:val="24"/>
          <w:lang w:val="ru-RU"/>
        </w:rPr>
        <w:t xml:space="preserve"> но более длительные обострения </w:t>
      </w:r>
      <w:r w:rsidRPr="0037351D">
        <w:rPr>
          <w:szCs w:val="24"/>
          <w:lang w:val="ru-RU"/>
        </w:rPr>
        <w:t>требуют</w:t>
      </w:r>
      <w:r w:rsidR="000D727A" w:rsidRPr="0037351D">
        <w:rPr>
          <w:szCs w:val="24"/>
          <w:lang w:val="ru-RU"/>
        </w:rPr>
        <w:t>,</w:t>
      </w:r>
      <w:r w:rsidRPr="0037351D">
        <w:rPr>
          <w:szCs w:val="24"/>
          <w:lang w:val="ru-RU"/>
        </w:rPr>
        <w:t xml:space="preserve"> как можно более раннего дополнительного применения кортикостероидной терапии для контроля над воспалением.</w:t>
      </w:r>
    </w:p>
    <w:p w14:paraId="0E310026" w14:textId="77777777" w:rsidR="0038421E" w:rsidRPr="0037351D" w:rsidRDefault="0038421E" w:rsidP="00A3433A">
      <w:pPr>
        <w:pStyle w:val="Markers"/>
        <w:spacing w:after="0" w:line="240" w:lineRule="auto"/>
        <w:ind w:right="-1"/>
        <w:contextualSpacing/>
        <w:rPr>
          <w:rFonts w:ascii="Times New Roman" w:hAnsi="Times New Roman"/>
          <w:b/>
          <w:i/>
          <w:color w:val="auto"/>
          <w:sz w:val="24"/>
          <w:szCs w:val="24"/>
          <w:lang w:val="ru-RU"/>
        </w:rPr>
      </w:pPr>
    </w:p>
    <w:p w14:paraId="08DF6CDA" w14:textId="77777777" w:rsidR="004F62B5" w:rsidRPr="0037351D" w:rsidRDefault="00277136" w:rsidP="00A3433A">
      <w:pPr>
        <w:pStyle w:val="Markers"/>
        <w:spacing w:after="0" w:line="240" w:lineRule="auto"/>
        <w:ind w:right="-1"/>
        <w:contextualSpacing/>
        <w:rPr>
          <w:rFonts w:ascii="Times New Roman" w:hAnsi="Times New Roman"/>
          <w:b/>
          <w:iCs/>
          <w:color w:val="auto"/>
          <w:sz w:val="24"/>
          <w:szCs w:val="24"/>
          <w:lang w:val="ru-RU"/>
        </w:rPr>
      </w:pPr>
      <w:r w:rsidRPr="0037351D">
        <w:rPr>
          <w:rFonts w:ascii="Times New Roman" w:hAnsi="Times New Roman"/>
          <w:b/>
          <w:iCs/>
          <w:color w:val="auto"/>
          <w:sz w:val="24"/>
          <w:szCs w:val="24"/>
          <w:lang w:val="ru-RU"/>
        </w:rPr>
        <w:t>Противопоказания</w:t>
      </w:r>
    </w:p>
    <w:p w14:paraId="7E5F9FC3" w14:textId="77777777" w:rsidR="004F62B5" w:rsidRPr="0037351D" w:rsidRDefault="004F62B5" w:rsidP="00A3433A">
      <w:pPr>
        <w:ind w:right="-1"/>
        <w:contextualSpacing/>
        <w:jc w:val="both"/>
        <w:rPr>
          <w:szCs w:val="24"/>
          <w:lang w:val="ru-RU" w:eastAsia="ru-RU"/>
        </w:rPr>
      </w:pPr>
      <w:r w:rsidRPr="0037351D">
        <w:rPr>
          <w:szCs w:val="24"/>
          <w:lang w:val="ru-RU" w:eastAsia="ru-RU"/>
        </w:rPr>
        <w:t>Гиперчувствительность к любому из компонентов препарата в анамнезе.</w:t>
      </w:r>
    </w:p>
    <w:p w14:paraId="3581015D" w14:textId="77777777" w:rsidR="00523725" w:rsidRPr="0037351D" w:rsidRDefault="00523725" w:rsidP="00A3433A">
      <w:pPr>
        <w:ind w:right="-1"/>
        <w:contextualSpacing/>
        <w:jc w:val="both"/>
        <w:rPr>
          <w:b/>
          <w:bCs/>
          <w:i/>
          <w:iCs/>
          <w:szCs w:val="24"/>
          <w:lang w:val="ru-RU" w:eastAsia="ru-RU"/>
        </w:rPr>
      </w:pPr>
    </w:p>
    <w:p w14:paraId="311E1AA3" w14:textId="793CAE33" w:rsidR="0038421E" w:rsidRPr="0037351D" w:rsidRDefault="00523725" w:rsidP="00A3433A">
      <w:pPr>
        <w:ind w:right="-1"/>
        <w:contextualSpacing/>
        <w:jc w:val="both"/>
        <w:rPr>
          <w:b/>
          <w:bCs/>
          <w:szCs w:val="24"/>
          <w:lang w:val="ru-RU" w:eastAsia="ru-RU"/>
        </w:rPr>
      </w:pPr>
      <w:r w:rsidRPr="0037351D">
        <w:rPr>
          <w:b/>
          <w:bCs/>
          <w:szCs w:val="24"/>
          <w:lang w:val="ru-RU" w:eastAsia="ru-RU"/>
        </w:rPr>
        <w:t>Взаимодействие с другими лекарственными средствами и другие виды</w:t>
      </w:r>
      <w:r w:rsidR="00EA35AC" w:rsidRPr="0037351D">
        <w:rPr>
          <w:b/>
          <w:bCs/>
          <w:szCs w:val="24"/>
          <w:lang w:val="ru-RU" w:eastAsia="ru-RU"/>
        </w:rPr>
        <w:t xml:space="preserve"> </w:t>
      </w:r>
      <w:r w:rsidRPr="0037351D">
        <w:rPr>
          <w:b/>
          <w:bCs/>
          <w:szCs w:val="24"/>
          <w:lang w:val="ru-RU" w:eastAsia="ru-RU"/>
        </w:rPr>
        <w:t>взаимодействий</w:t>
      </w:r>
    </w:p>
    <w:p w14:paraId="6AF0AE7D" w14:textId="77777777" w:rsidR="0038421E" w:rsidRPr="0037351D" w:rsidRDefault="0038421E" w:rsidP="00A3433A">
      <w:pPr>
        <w:ind w:right="-1"/>
        <w:contextualSpacing/>
        <w:jc w:val="both"/>
        <w:rPr>
          <w:szCs w:val="24"/>
          <w:lang w:val="ru-RU" w:eastAsia="ru-RU"/>
        </w:rPr>
      </w:pPr>
      <w:r w:rsidRPr="0037351D">
        <w:rPr>
          <w:szCs w:val="24"/>
          <w:lang w:val="ru-RU" w:eastAsia="ru-RU"/>
        </w:rPr>
        <w:t>В обычных условиях после ингаляционного введения достигаются низкие концентрации фл</w:t>
      </w:r>
      <w:r w:rsidR="005B0715" w:rsidRPr="0037351D">
        <w:rPr>
          <w:szCs w:val="24"/>
          <w:lang w:val="ru-RU" w:eastAsia="ru-RU"/>
        </w:rPr>
        <w:t>у</w:t>
      </w:r>
      <w:r w:rsidRPr="0037351D">
        <w:rPr>
          <w:szCs w:val="24"/>
          <w:lang w:val="ru-RU" w:eastAsia="ru-RU"/>
        </w:rPr>
        <w:t>тиказона пропионата в плазме крови благодаря экстенсивному метаболизму первого прохождения и высокому системному клиренсу препарата, опосредованного цитохромом Р450 3А4 в печени и кишечнике. Поэтому вероятность клинически значимого медикаментозного взаимодействия, опосредованного фл</w:t>
      </w:r>
      <w:r w:rsidR="005B0715" w:rsidRPr="0037351D">
        <w:rPr>
          <w:szCs w:val="24"/>
          <w:lang w:val="ru-RU" w:eastAsia="ru-RU"/>
        </w:rPr>
        <w:t>у</w:t>
      </w:r>
      <w:r w:rsidRPr="0037351D">
        <w:rPr>
          <w:szCs w:val="24"/>
          <w:lang w:val="ru-RU" w:eastAsia="ru-RU"/>
        </w:rPr>
        <w:t>тиказона пропионатом, крайне мала.</w:t>
      </w:r>
    </w:p>
    <w:p w14:paraId="2E62D1FE" w14:textId="0A1FBCF5" w:rsidR="00EA35AC" w:rsidRPr="0037351D" w:rsidRDefault="0038421E" w:rsidP="00A3433A">
      <w:pPr>
        <w:ind w:right="-1"/>
        <w:contextualSpacing/>
        <w:jc w:val="both"/>
        <w:rPr>
          <w:szCs w:val="24"/>
          <w:lang w:val="ru-RU"/>
        </w:rPr>
      </w:pPr>
      <w:r w:rsidRPr="0037351D">
        <w:rPr>
          <w:szCs w:val="24"/>
          <w:lang w:val="ru-RU"/>
        </w:rPr>
        <w:t>Согласно исследованиям по изучению медикаментозного взаимодействия с участием здоровых добровольцев было показано, что ритонавир (сильный ингибитор цитохрома</w:t>
      </w:r>
      <w:r w:rsidR="00D122EB" w:rsidRPr="0037351D">
        <w:rPr>
          <w:szCs w:val="24"/>
          <w:lang w:val="ru-RU"/>
        </w:rPr>
        <w:t xml:space="preserve"> </w:t>
      </w:r>
      <w:r w:rsidRPr="0037351D">
        <w:rPr>
          <w:szCs w:val="24"/>
          <w:lang w:val="ru-RU"/>
        </w:rPr>
        <w:t>Р450</w:t>
      </w:r>
      <w:r w:rsidR="00ED73AD" w:rsidRPr="0037351D">
        <w:rPr>
          <w:szCs w:val="24"/>
          <w:lang w:val="ru-RU"/>
        </w:rPr>
        <w:t xml:space="preserve"> </w:t>
      </w:r>
      <w:r w:rsidRPr="0037351D">
        <w:rPr>
          <w:szCs w:val="24"/>
          <w:lang w:val="ru-RU"/>
        </w:rPr>
        <w:t>3А4) 100</w:t>
      </w:r>
      <w:r w:rsidR="00D122EB" w:rsidRPr="0037351D">
        <w:rPr>
          <w:szCs w:val="24"/>
          <w:lang w:val="ru-RU"/>
        </w:rPr>
        <w:t> </w:t>
      </w:r>
      <w:r w:rsidRPr="0037351D">
        <w:rPr>
          <w:szCs w:val="24"/>
          <w:lang w:val="ru-RU"/>
        </w:rPr>
        <w:t>мкг 2</w:t>
      </w:r>
      <w:r w:rsidR="00D122EB" w:rsidRPr="0037351D">
        <w:rPr>
          <w:szCs w:val="24"/>
          <w:lang w:val="ru-RU"/>
        </w:rPr>
        <w:t> </w:t>
      </w:r>
      <w:r w:rsidRPr="0037351D">
        <w:rPr>
          <w:szCs w:val="24"/>
          <w:lang w:val="ru-RU"/>
        </w:rPr>
        <w:t>раза в сутки может увеличивать концентрацию фл</w:t>
      </w:r>
      <w:r w:rsidR="005B0715" w:rsidRPr="0037351D">
        <w:rPr>
          <w:szCs w:val="24"/>
          <w:lang w:val="ru-RU"/>
        </w:rPr>
        <w:t>у</w:t>
      </w:r>
      <w:r w:rsidRPr="0037351D">
        <w:rPr>
          <w:szCs w:val="24"/>
          <w:lang w:val="ru-RU"/>
        </w:rPr>
        <w:t>тиказона пропионата в плазме</w:t>
      </w:r>
      <w:r w:rsidR="00D258BA" w:rsidRPr="0037351D">
        <w:rPr>
          <w:szCs w:val="24"/>
          <w:lang w:val="ru-RU"/>
        </w:rPr>
        <w:t xml:space="preserve"> крови в несколько сотен раз</w:t>
      </w:r>
      <w:r w:rsidRPr="0037351D">
        <w:rPr>
          <w:szCs w:val="24"/>
          <w:lang w:val="ru-RU"/>
        </w:rPr>
        <w:t xml:space="preserve">, что приведет к существенному снижению концентрации кортизола в сыворотке крови. </w:t>
      </w:r>
      <w:r w:rsidR="00D258BA" w:rsidRPr="0037351D">
        <w:rPr>
          <w:szCs w:val="24"/>
          <w:lang w:val="ru-RU"/>
        </w:rPr>
        <w:t xml:space="preserve">Информации </w:t>
      </w:r>
      <w:r w:rsidR="00EA35AC" w:rsidRPr="0037351D">
        <w:rPr>
          <w:szCs w:val="24"/>
          <w:lang w:val="ru-RU"/>
        </w:rPr>
        <w:t>пр</w:t>
      </w:r>
      <w:r w:rsidR="00D258BA" w:rsidRPr="0037351D">
        <w:rPr>
          <w:szCs w:val="24"/>
          <w:lang w:val="ru-RU"/>
        </w:rPr>
        <w:t>о тако</w:t>
      </w:r>
      <w:r w:rsidR="00EA35AC" w:rsidRPr="0037351D">
        <w:rPr>
          <w:szCs w:val="24"/>
          <w:lang w:val="ru-RU"/>
        </w:rPr>
        <w:t>е</w:t>
      </w:r>
      <w:r w:rsidR="00D258BA" w:rsidRPr="0037351D">
        <w:rPr>
          <w:szCs w:val="24"/>
          <w:lang w:val="ru-RU"/>
        </w:rPr>
        <w:t xml:space="preserve"> взаимодействи</w:t>
      </w:r>
      <w:r w:rsidR="00EA35AC" w:rsidRPr="0037351D">
        <w:rPr>
          <w:szCs w:val="24"/>
          <w:lang w:val="ru-RU"/>
        </w:rPr>
        <w:t>е</w:t>
      </w:r>
      <w:r w:rsidR="00D258BA" w:rsidRPr="0037351D">
        <w:rPr>
          <w:szCs w:val="24"/>
          <w:lang w:val="ru-RU"/>
        </w:rPr>
        <w:t xml:space="preserve"> с ингаляционным флутиказон</w:t>
      </w:r>
      <w:r w:rsidR="0017361A" w:rsidRPr="0037351D">
        <w:rPr>
          <w:szCs w:val="24"/>
          <w:lang w:val="ru-RU"/>
        </w:rPr>
        <w:t>ом</w:t>
      </w:r>
      <w:r w:rsidR="00D258BA" w:rsidRPr="0037351D">
        <w:rPr>
          <w:szCs w:val="24"/>
          <w:lang w:val="ru-RU"/>
        </w:rPr>
        <w:t xml:space="preserve"> пропионатом недостаточно, но указанное повышение концентрации флутиказона пропионата в плазме крови может наблюдаться. Также</w:t>
      </w:r>
      <w:r w:rsidR="00DA2852" w:rsidRPr="0037351D">
        <w:rPr>
          <w:szCs w:val="24"/>
          <w:lang w:val="ru-RU"/>
        </w:rPr>
        <w:t>,</w:t>
      </w:r>
      <w:r w:rsidR="00D258BA" w:rsidRPr="0037351D">
        <w:rPr>
          <w:szCs w:val="24"/>
          <w:lang w:val="ru-RU"/>
        </w:rPr>
        <w:t xml:space="preserve"> </w:t>
      </w:r>
      <w:r w:rsidRPr="0037351D">
        <w:rPr>
          <w:szCs w:val="24"/>
          <w:lang w:val="ru-RU"/>
        </w:rPr>
        <w:t xml:space="preserve">сообщалось о </w:t>
      </w:r>
      <w:r w:rsidR="006B0E8B" w:rsidRPr="0037351D">
        <w:rPr>
          <w:szCs w:val="24"/>
          <w:lang w:val="ru-RU"/>
        </w:rPr>
        <w:t>развитии</w:t>
      </w:r>
      <w:r w:rsidRPr="0037351D">
        <w:rPr>
          <w:szCs w:val="24"/>
          <w:lang w:val="ru-RU"/>
        </w:rPr>
        <w:t xml:space="preserve"> синдром</w:t>
      </w:r>
      <w:r w:rsidR="00013348" w:rsidRPr="0037351D">
        <w:rPr>
          <w:szCs w:val="24"/>
          <w:lang w:val="ru-RU"/>
        </w:rPr>
        <w:t>а</w:t>
      </w:r>
      <w:r w:rsidRPr="0037351D">
        <w:rPr>
          <w:szCs w:val="24"/>
          <w:lang w:val="ru-RU"/>
        </w:rPr>
        <w:t xml:space="preserve"> Кушинга и угнетени</w:t>
      </w:r>
      <w:r w:rsidR="008A1B0E" w:rsidRPr="0037351D">
        <w:rPr>
          <w:szCs w:val="24"/>
          <w:lang w:val="ru-RU"/>
        </w:rPr>
        <w:t>и</w:t>
      </w:r>
      <w:r w:rsidRPr="0037351D">
        <w:rPr>
          <w:szCs w:val="24"/>
          <w:lang w:val="ru-RU"/>
        </w:rPr>
        <w:t xml:space="preserve"> функции надпочечников. Поэтому следует избегать одновременного применения фл</w:t>
      </w:r>
      <w:r w:rsidR="005B0715" w:rsidRPr="0037351D">
        <w:rPr>
          <w:szCs w:val="24"/>
          <w:lang w:val="ru-RU"/>
        </w:rPr>
        <w:t>у</w:t>
      </w:r>
      <w:r w:rsidRPr="0037351D">
        <w:rPr>
          <w:szCs w:val="24"/>
          <w:lang w:val="ru-RU"/>
        </w:rPr>
        <w:t>тиказона пропионата и ритонавира, за исключением случая, когда польза от такого применения будет превышать риск сист</w:t>
      </w:r>
      <w:r w:rsidR="00EA35AC" w:rsidRPr="0037351D">
        <w:rPr>
          <w:szCs w:val="24"/>
          <w:lang w:val="ru-RU"/>
        </w:rPr>
        <w:t>емного влияния кортикостероидов.</w:t>
      </w:r>
    </w:p>
    <w:p w14:paraId="201EDC5C" w14:textId="0EB5BE3E" w:rsidR="006B0E8B" w:rsidRPr="0037351D" w:rsidRDefault="006B0E8B" w:rsidP="00A3433A">
      <w:pPr>
        <w:ind w:right="-1"/>
        <w:contextualSpacing/>
        <w:jc w:val="both"/>
        <w:rPr>
          <w:szCs w:val="24"/>
          <w:lang w:val="ru-RU"/>
        </w:rPr>
      </w:pPr>
      <w:r w:rsidRPr="0037351D">
        <w:rPr>
          <w:szCs w:val="24"/>
          <w:lang w:val="ru-RU"/>
        </w:rPr>
        <w:t>В небольшом исследовании, что проводилось с участием здоровых добровольцев, менее сильный ингибитор CYP3A кетоконазол увеличивал концентрацию флутиказона пропионата после одной ингаляции до 150</w:t>
      </w:r>
      <w:r w:rsidR="008311EF" w:rsidRPr="0037351D">
        <w:rPr>
          <w:szCs w:val="24"/>
          <w:lang w:val="ru-RU"/>
        </w:rPr>
        <w:t> </w:t>
      </w:r>
      <w:r w:rsidRPr="0037351D">
        <w:rPr>
          <w:szCs w:val="24"/>
          <w:lang w:val="ru-RU"/>
        </w:rPr>
        <w:t xml:space="preserve">%, что привело к существенному уменьшению концентрации кортизола в сыворотке крови по сравнению с применением только </w:t>
      </w:r>
      <w:r w:rsidRPr="0037351D">
        <w:rPr>
          <w:szCs w:val="24"/>
          <w:lang w:val="ru-RU"/>
        </w:rPr>
        <w:lastRenderedPageBreak/>
        <w:t>флутиказона пропионата. При одновременном применении с другими сильными ингибиторами CYP3A, такими как итраконазол, также ожидается повышение концентрации системного флутиказона пропионата и риск системного влияния. Следует быть осторожным и по возможности избегать длительного применения такого сочетания препаратов.</w:t>
      </w:r>
    </w:p>
    <w:p w14:paraId="5AF87C27" w14:textId="77777777" w:rsidR="006B0E8B" w:rsidRPr="0037351D" w:rsidRDefault="006B0E8B" w:rsidP="00A3433A">
      <w:pPr>
        <w:ind w:right="-1"/>
        <w:contextualSpacing/>
        <w:jc w:val="both"/>
        <w:rPr>
          <w:szCs w:val="24"/>
          <w:lang w:val="ru-RU"/>
        </w:rPr>
      </w:pPr>
      <w:r w:rsidRPr="0037351D">
        <w:rPr>
          <w:szCs w:val="24"/>
          <w:lang w:val="ru-RU"/>
        </w:rPr>
        <w:t>Ожидается, что совместное применение флутиказона пропионата с другими сильными ингибиторами CYP3A, включая препараты, содержащие кобицистат, увеличит риск возникновения системных побочных действий.</w:t>
      </w:r>
    </w:p>
    <w:p w14:paraId="09BFCFFE" w14:textId="27F3DB7B" w:rsidR="0038421E" w:rsidRPr="0037351D" w:rsidRDefault="00996553" w:rsidP="00A3433A">
      <w:pPr>
        <w:ind w:right="-1"/>
        <w:contextualSpacing/>
        <w:jc w:val="both"/>
        <w:rPr>
          <w:szCs w:val="24"/>
          <w:lang w:val="ru-RU"/>
        </w:rPr>
      </w:pPr>
      <w:r w:rsidRPr="0037351D">
        <w:rPr>
          <w:szCs w:val="24"/>
          <w:lang w:val="ru-RU"/>
        </w:rPr>
        <w:t>Д</w:t>
      </w:r>
      <w:r w:rsidR="0038421E" w:rsidRPr="0037351D">
        <w:rPr>
          <w:szCs w:val="24"/>
          <w:lang w:val="ru-RU"/>
        </w:rPr>
        <w:t>руги</w:t>
      </w:r>
      <w:r w:rsidRPr="0037351D">
        <w:rPr>
          <w:szCs w:val="24"/>
          <w:lang w:val="ru-RU"/>
        </w:rPr>
        <w:t>е</w:t>
      </w:r>
      <w:r w:rsidR="0038421E" w:rsidRPr="0037351D">
        <w:rPr>
          <w:szCs w:val="24"/>
          <w:lang w:val="ru-RU"/>
        </w:rPr>
        <w:t xml:space="preserve"> ингибитор</w:t>
      </w:r>
      <w:r w:rsidRPr="0037351D">
        <w:rPr>
          <w:szCs w:val="24"/>
          <w:lang w:val="ru-RU"/>
        </w:rPr>
        <w:t>ы</w:t>
      </w:r>
      <w:r w:rsidR="0038421E" w:rsidRPr="0037351D">
        <w:rPr>
          <w:szCs w:val="24"/>
          <w:lang w:val="ru-RU"/>
        </w:rPr>
        <w:t xml:space="preserve"> </w:t>
      </w:r>
      <w:r w:rsidRPr="0037351D">
        <w:rPr>
          <w:szCs w:val="24"/>
          <w:lang w:val="ru-RU"/>
        </w:rPr>
        <w:t>CYP3A4 вызывают</w:t>
      </w:r>
      <w:r w:rsidR="0038421E" w:rsidRPr="0037351D">
        <w:rPr>
          <w:szCs w:val="24"/>
          <w:lang w:val="ru-RU"/>
        </w:rPr>
        <w:t xml:space="preserve"> незначительное (эритромицин) или небольшое (кетоконазол) влияние на повышение системной концентрации фл</w:t>
      </w:r>
      <w:r w:rsidR="005B0715" w:rsidRPr="0037351D">
        <w:rPr>
          <w:szCs w:val="24"/>
          <w:lang w:val="ru-RU"/>
        </w:rPr>
        <w:t>у</w:t>
      </w:r>
      <w:r w:rsidR="0038421E" w:rsidRPr="0037351D">
        <w:rPr>
          <w:szCs w:val="24"/>
          <w:lang w:val="ru-RU"/>
        </w:rPr>
        <w:t>тиказона пропионата в сыворотке крови без значительного снижения концентрации кортизола.</w:t>
      </w:r>
      <w:r w:rsidRPr="0037351D">
        <w:rPr>
          <w:szCs w:val="24"/>
          <w:lang w:val="ru-RU"/>
        </w:rPr>
        <w:t xml:space="preserve"> Таких комбинаций следует избегать, кроме случаев, когда ожидаемая польза будет преобладать потенциальное повышение риска развития системных побочных реакций кортикостероидов, в таких случаях пациентов следует мониторить на предмет развития системных побочных эффектов.</w:t>
      </w:r>
    </w:p>
    <w:p w14:paraId="1E9B055D" w14:textId="77777777" w:rsidR="0038421E" w:rsidRPr="0037351D" w:rsidRDefault="0038421E" w:rsidP="00A3433A">
      <w:pPr>
        <w:pStyle w:val="Markers"/>
        <w:spacing w:after="0" w:line="240" w:lineRule="auto"/>
        <w:ind w:right="-1"/>
        <w:contextualSpacing/>
        <w:rPr>
          <w:rFonts w:ascii="Times New Roman" w:hAnsi="Times New Roman"/>
          <w:b/>
          <w:color w:val="auto"/>
          <w:sz w:val="24"/>
          <w:szCs w:val="24"/>
          <w:lang w:val="ru-RU"/>
        </w:rPr>
      </w:pPr>
    </w:p>
    <w:p w14:paraId="3C297C34" w14:textId="130FDA81" w:rsidR="00DA2852" w:rsidRPr="0037351D" w:rsidRDefault="00DA2852" w:rsidP="00A3433A">
      <w:pPr>
        <w:ind w:right="-1"/>
        <w:contextualSpacing/>
        <w:jc w:val="both"/>
        <w:rPr>
          <w:b/>
          <w:szCs w:val="24"/>
          <w:lang w:val="ru-RU"/>
        </w:rPr>
      </w:pPr>
      <w:r w:rsidRPr="0037351D">
        <w:rPr>
          <w:b/>
          <w:szCs w:val="24"/>
          <w:lang w:val="ru-RU"/>
        </w:rPr>
        <w:t>Особ</w:t>
      </w:r>
      <w:r w:rsidR="0073205B" w:rsidRPr="0037351D">
        <w:rPr>
          <w:b/>
          <w:szCs w:val="24"/>
          <w:lang w:val="ru-RU"/>
        </w:rPr>
        <w:t>е</w:t>
      </w:r>
      <w:r w:rsidR="00D91E3B" w:rsidRPr="0037351D">
        <w:rPr>
          <w:b/>
          <w:szCs w:val="24"/>
          <w:lang w:val="ru-RU"/>
        </w:rPr>
        <w:t>нности</w:t>
      </w:r>
      <w:r w:rsidR="0073205B" w:rsidRPr="0037351D">
        <w:rPr>
          <w:b/>
          <w:szCs w:val="24"/>
          <w:lang w:val="ru-RU"/>
        </w:rPr>
        <w:t xml:space="preserve"> </w:t>
      </w:r>
      <w:r w:rsidR="0066548E" w:rsidRPr="0037351D">
        <w:rPr>
          <w:b/>
          <w:szCs w:val="24"/>
          <w:lang w:val="ru-RU"/>
        </w:rPr>
        <w:t>примене</w:t>
      </w:r>
      <w:r w:rsidR="0073205B" w:rsidRPr="0037351D">
        <w:rPr>
          <w:b/>
          <w:szCs w:val="24"/>
          <w:lang w:val="ru-RU"/>
        </w:rPr>
        <w:t>ния</w:t>
      </w:r>
    </w:p>
    <w:p w14:paraId="1E8EB24E" w14:textId="77777777" w:rsidR="00DA2852" w:rsidRPr="0037351D" w:rsidRDefault="00DA2852" w:rsidP="00A3433A">
      <w:pPr>
        <w:ind w:right="-1"/>
        <w:contextualSpacing/>
        <w:jc w:val="both"/>
        <w:rPr>
          <w:szCs w:val="24"/>
          <w:lang w:val="ru-RU" w:eastAsia="ru-RU"/>
        </w:rPr>
      </w:pPr>
      <w:r w:rsidRPr="0037351D">
        <w:rPr>
          <w:szCs w:val="24"/>
          <w:lang w:val="ru-RU" w:eastAsia="ru-RU"/>
        </w:rPr>
        <w:t>Лечение бронхиальной астмы следует проводить согласно поэтапной программе, состояние пациента необходимо регулярно контролировать как клинически, так и путем определения показателей функции внешнего дыхания.</w:t>
      </w:r>
    </w:p>
    <w:p w14:paraId="635B24E3" w14:textId="77777777" w:rsidR="00DA2852" w:rsidRPr="0037351D" w:rsidRDefault="00DA2852" w:rsidP="00A3433A">
      <w:pPr>
        <w:ind w:right="-1"/>
        <w:contextualSpacing/>
        <w:jc w:val="both"/>
        <w:rPr>
          <w:szCs w:val="24"/>
          <w:lang w:val="ru-RU" w:eastAsia="ru-RU"/>
        </w:rPr>
      </w:pPr>
      <w:r w:rsidRPr="0037351D">
        <w:rPr>
          <w:szCs w:val="24"/>
          <w:lang w:val="ru-RU" w:eastAsia="ru-RU"/>
        </w:rPr>
        <w:t>Небуфлюзон не предназначен для облегчения острых приступов астмы, при которых необходимо применять быстро- и короткодействующие ингаляционные бронходилататоры. Пациентов следует предупредить о необходимости иметь при себе такие лекарственные средства. Небуфлюзон следует назначать для длительного профилактического лечения.</w:t>
      </w:r>
    </w:p>
    <w:p w14:paraId="3AA30E67" w14:textId="77777777" w:rsidR="00DA2852" w:rsidRPr="0037351D" w:rsidRDefault="00DA2852" w:rsidP="00A3433A">
      <w:pPr>
        <w:ind w:right="-1"/>
        <w:contextualSpacing/>
        <w:jc w:val="both"/>
        <w:rPr>
          <w:szCs w:val="24"/>
          <w:lang w:val="ru-RU" w:eastAsia="ru-RU"/>
        </w:rPr>
      </w:pPr>
      <w:r w:rsidRPr="0037351D">
        <w:rPr>
          <w:szCs w:val="24"/>
          <w:lang w:val="ru-RU" w:eastAsia="ru-RU"/>
        </w:rPr>
        <w:t>Небуфлюзон не является препаратом, которым можно заменить инъекционное или пероральное применение кортикостероидов в неотложных состояниях (например, при тяжелом обострении астмы, которое является опасным для жизни).</w:t>
      </w:r>
    </w:p>
    <w:p w14:paraId="1C6C5B83" w14:textId="77777777" w:rsidR="00DA2852" w:rsidRPr="0037351D" w:rsidRDefault="00DA2852" w:rsidP="00A3433A">
      <w:pPr>
        <w:ind w:right="-1"/>
        <w:contextualSpacing/>
        <w:jc w:val="both"/>
        <w:rPr>
          <w:szCs w:val="24"/>
          <w:lang w:val="ru-RU" w:eastAsia="ru-RU"/>
        </w:rPr>
      </w:pPr>
      <w:r w:rsidRPr="0037351D">
        <w:rPr>
          <w:szCs w:val="24"/>
          <w:lang w:val="ru-RU" w:eastAsia="ru-RU"/>
        </w:rPr>
        <w:t>Тяжелая астма требует постоянного медицинского контроля, включая определение показателей функции внешнего дыхания, поскольку существует риск острых приступов астмы и даже летального исхода у таких пациентов.</w:t>
      </w:r>
    </w:p>
    <w:p w14:paraId="03FF7F1E" w14:textId="77777777" w:rsidR="00DA2852" w:rsidRPr="0037351D" w:rsidRDefault="00DA2852" w:rsidP="00A3433A">
      <w:pPr>
        <w:ind w:right="-1"/>
        <w:contextualSpacing/>
        <w:jc w:val="both"/>
        <w:rPr>
          <w:szCs w:val="24"/>
          <w:lang w:val="ru-RU" w:eastAsia="ru-RU"/>
        </w:rPr>
      </w:pPr>
      <w:r w:rsidRPr="0037351D">
        <w:rPr>
          <w:szCs w:val="24"/>
          <w:lang w:val="ru-RU" w:eastAsia="ru-RU"/>
        </w:rPr>
        <w:t>Увеличение частоты применения и дозы ингаляционных бета-2-агонистов сигнализирует о постепенной потере контроля над астмой. В случае уменьшения эффективности коротк</w:t>
      </w:r>
      <w:r w:rsidR="007750D0" w:rsidRPr="0037351D">
        <w:rPr>
          <w:szCs w:val="24"/>
          <w:lang w:val="ru-RU" w:eastAsia="ru-RU"/>
        </w:rPr>
        <w:t>их</w:t>
      </w:r>
      <w:r w:rsidRPr="0037351D">
        <w:rPr>
          <w:szCs w:val="24"/>
          <w:lang w:val="ru-RU" w:eastAsia="ru-RU"/>
        </w:rPr>
        <w:t xml:space="preserve"> бронходилататоров или необходимости их более частого применения, пациенту следует обратиться к врачу. В таких ситуациях пациентам необходимо пройти дополнительное обследование для определения необходимости усиления противовоспалительной терапии (например, повышение доз ингаляционных кортикостероидов или назначение курса приема кортикостероидов перорально). При тяжелом обострении астмы следует назначать обычную для такого состояния терапию.</w:t>
      </w:r>
    </w:p>
    <w:p w14:paraId="7BBC6328" w14:textId="3C71CE33" w:rsidR="00DA2852" w:rsidRPr="0037351D" w:rsidRDefault="00DA2852" w:rsidP="00A3433A">
      <w:pPr>
        <w:ind w:right="-1"/>
        <w:contextualSpacing/>
        <w:jc w:val="both"/>
        <w:rPr>
          <w:szCs w:val="24"/>
          <w:lang w:val="ru-RU" w:eastAsia="ru-RU"/>
        </w:rPr>
      </w:pPr>
      <w:r w:rsidRPr="0037351D">
        <w:rPr>
          <w:szCs w:val="24"/>
          <w:lang w:val="ru-RU" w:eastAsia="ru-RU"/>
        </w:rPr>
        <w:t xml:space="preserve">Существуют единичные сообщения о повышении уровня глюкозы в крови как у пациентов с диагностированным сахарным диабетом, так и у пациентов, не страдающих сахарным диабетом (см. раздел «Побочные </w:t>
      </w:r>
      <w:r w:rsidR="00E858C0" w:rsidRPr="0037351D">
        <w:rPr>
          <w:szCs w:val="24"/>
          <w:lang w:val="ru-RU" w:eastAsia="ru-RU"/>
        </w:rPr>
        <w:t>реакции</w:t>
      </w:r>
      <w:r w:rsidRPr="0037351D">
        <w:rPr>
          <w:szCs w:val="24"/>
          <w:lang w:val="ru-RU" w:eastAsia="ru-RU"/>
        </w:rPr>
        <w:t>»). Это следует учитывать при назначении Небуфлюзона пациентам с сахарным диабетом.</w:t>
      </w:r>
    </w:p>
    <w:p w14:paraId="0534FDC1" w14:textId="48F6CC4D" w:rsidR="00DA2852" w:rsidRPr="0037351D" w:rsidRDefault="00DA2852" w:rsidP="00A3433A">
      <w:pPr>
        <w:ind w:right="-1"/>
        <w:contextualSpacing/>
        <w:jc w:val="both"/>
        <w:rPr>
          <w:szCs w:val="24"/>
          <w:lang w:val="ru-RU" w:eastAsia="ru-RU"/>
        </w:rPr>
      </w:pPr>
      <w:r w:rsidRPr="0037351D">
        <w:rPr>
          <w:szCs w:val="24"/>
          <w:lang w:val="ru-RU" w:eastAsia="ru-RU"/>
        </w:rPr>
        <w:t>Как и при лечении другими ингаляционными препаратами, возможно развитие парадоксального бронхоспазма с быстро растущей одышкой после ингаляции. В этом случае ингаляция Небуфлюзона сразу прекращается, проводится обследование пациента и при необходимости назначают альтернативную терапию.</w:t>
      </w:r>
    </w:p>
    <w:p w14:paraId="5CF79147" w14:textId="77777777" w:rsidR="00DA2852" w:rsidRPr="0037351D" w:rsidRDefault="00DA2852" w:rsidP="00A3433A">
      <w:pPr>
        <w:ind w:right="-1"/>
        <w:contextualSpacing/>
        <w:jc w:val="both"/>
        <w:rPr>
          <w:szCs w:val="24"/>
          <w:lang w:val="ru-RU" w:eastAsia="ru-RU"/>
        </w:rPr>
      </w:pPr>
      <w:r w:rsidRPr="0037351D">
        <w:rPr>
          <w:szCs w:val="24"/>
          <w:lang w:val="ru-RU" w:eastAsia="ru-RU"/>
        </w:rPr>
        <w:t>При применении ингаляционных кортикостероидов в высоких дозах и в течение длительного времени возможно возникновение системного действия, но вероятность этого значительно меньше, чем при применении пероральных стероидов. Системное действие может проявляться синдромом Кушинга, кушингоидными признаками, угнетением функции надпочечников, задержкой роста у детей и подростков, ум</w:t>
      </w:r>
      <w:r w:rsidR="00EA35AC" w:rsidRPr="0037351D">
        <w:rPr>
          <w:szCs w:val="24"/>
          <w:lang w:val="ru-RU" w:eastAsia="ru-RU"/>
        </w:rPr>
        <w:t>еньшением минерализации костей</w:t>
      </w:r>
      <w:r w:rsidRPr="0037351D">
        <w:rPr>
          <w:szCs w:val="24"/>
          <w:lang w:val="ru-RU" w:eastAsia="ru-RU"/>
        </w:rPr>
        <w:t xml:space="preserve">, и, в редких случаях, психическими расстройствами, изменением </w:t>
      </w:r>
      <w:r w:rsidRPr="0037351D">
        <w:rPr>
          <w:szCs w:val="24"/>
          <w:lang w:val="ru-RU" w:eastAsia="ru-RU"/>
        </w:rPr>
        <w:lastRenderedPageBreak/>
        <w:t>поведения, включая психомоторную гиперактивность, нарушения сна, ощущение беспокойства, депрессивные и агрессивные состояния (главным образом у детей). Поэтому следует регулярно проверять дозу ингаляционных кортикостероидов, и она должна быть уменьшена до минимально возможной, которая бы поддерживала эффективный контроль симптомов астмы.</w:t>
      </w:r>
    </w:p>
    <w:p w14:paraId="208D4B87" w14:textId="382C1922" w:rsidR="00DA2852" w:rsidRPr="0037351D" w:rsidRDefault="00DA2852" w:rsidP="00A3433A">
      <w:pPr>
        <w:ind w:right="-1"/>
        <w:contextualSpacing/>
        <w:jc w:val="both"/>
        <w:rPr>
          <w:szCs w:val="24"/>
          <w:lang w:val="ru-RU" w:eastAsia="ru-RU"/>
        </w:rPr>
      </w:pPr>
      <w:r w:rsidRPr="0037351D">
        <w:rPr>
          <w:szCs w:val="24"/>
          <w:lang w:val="ru-RU" w:eastAsia="ru-RU"/>
        </w:rPr>
        <w:t>Длительное применение высоких доз ингаляционных кортикостероидов может вызвать угнетение функции надпочечников и острый адренало</w:t>
      </w:r>
      <w:r w:rsidR="00626ACA" w:rsidRPr="0037351D">
        <w:rPr>
          <w:szCs w:val="24"/>
          <w:lang w:val="ru-RU" w:eastAsia="ru-RU"/>
        </w:rPr>
        <w:t>вый криз. Дети, не достигшие 16</w:t>
      </w:r>
      <w:r w:rsidR="008311EF" w:rsidRPr="0037351D">
        <w:rPr>
          <w:szCs w:val="24"/>
          <w:lang w:val="ru-RU" w:eastAsia="ru-RU"/>
        </w:rPr>
        <w:t> </w:t>
      </w:r>
      <w:r w:rsidRPr="0037351D">
        <w:rPr>
          <w:szCs w:val="24"/>
          <w:lang w:val="ru-RU" w:eastAsia="ru-RU"/>
        </w:rPr>
        <w:t>лет, при применении доз фл</w:t>
      </w:r>
      <w:r w:rsidR="005B0715" w:rsidRPr="0037351D">
        <w:rPr>
          <w:szCs w:val="24"/>
          <w:lang w:val="ru-RU" w:eastAsia="ru-RU"/>
        </w:rPr>
        <w:t>у</w:t>
      </w:r>
      <w:r w:rsidRPr="0037351D">
        <w:rPr>
          <w:szCs w:val="24"/>
          <w:lang w:val="ru-RU" w:eastAsia="ru-RU"/>
        </w:rPr>
        <w:t xml:space="preserve">тиказона, превышающих утвержденные </w:t>
      </w:r>
      <w:r w:rsidR="008311EF" w:rsidRPr="0037351D">
        <w:rPr>
          <w:szCs w:val="24"/>
          <w:lang w:val="ru-RU" w:eastAsia="ru-RU"/>
        </w:rPr>
        <w:br/>
      </w:r>
      <w:r w:rsidRPr="0037351D">
        <w:rPr>
          <w:szCs w:val="24"/>
          <w:lang w:val="ru-RU" w:eastAsia="ru-RU"/>
        </w:rPr>
        <w:t>(обычно ≥</w:t>
      </w:r>
      <w:r w:rsidR="008311EF" w:rsidRPr="0037351D">
        <w:rPr>
          <w:szCs w:val="24"/>
          <w:lang w:val="ru-RU" w:eastAsia="ru-RU"/>
        </w:rPr>
        <w:t> </w:t>
      </w:r>
      <w:r w:rsidRPr="0037351D">
        <w:rPr>
          <w:szCs w:val="24"/>
          <w:lang w:val="ru-RU" w:eastAsia="ru-RU"/>
        </w:rPr>
        <w:t>1000</w:t>
      </w:r>
      <w:r w:rsidR="008311EF" w:rsidRPr="0037351D">
        <w:rPr>
          <w:szCs w:val="24"/>
          <w:lang w:val="ru-RU" w:eastAsia="ru-RU"/>
        </w:rPr>
        <w:t> </w:t>
      </w:r>
      <w:r w:rsidRPr="0037351D">
        <w:rPr>
          <w:szCs w:val="24"/>
          <w:lang w:val="ru-RU" w:eastAsia="ru-RU"/>
        </w:rPr>
        <w:t>мкг/сут), находятся в зоне особого риска. Развитие острого адреналового криза может провоцироваться травмами, хирургическими вмешательствами, инфекциями или резким снижением дозы лекарственного средства. Симптомы обычно нечеткие и могут проявляться анорексией, болью в животе, потерей веса, усталостью, головной болью, тошнотой, рвотой, снижением уровня сознания, гипогликемией и приступами судорог. В случае стресса или хирургических вмешательств возможно дополнительное применение системных кортикостероидов.</w:t>
      </w:r>
    </w:p>
    <w:p w14:paraId="679741BF" w14:textId="7B513ACB" w:rsidR="00DA2852" w:rsidRPr="0037351D" w:rsidRDefault="00DA2852" w:rsidP="00A3433A">
      <w:pPr>
        <w:ind w:right="-1"/>
        <w:contextualSpacing/>
        <w:jc w:val="both"/>
        <w:rPr>
          <w:szCs w:val="24"/>
          <w:lang w:val="ru-RU" w:eastAsia="ru-RU"/>
        </w:rPr>
      </w:pPr>
      <w:r w:rsidRPr="0037351D">
        <w:rPr>
          <w:szCs w:val="24"/>
          <w:lang w:val="ru-RU" w:eastAsia="ru-RU"/>
        </w:rPr>
        <w:t xml:space="preserve">Рекомендуется регулярно проверять рост детей, находящихся на длительном лечении ингаляционными кортикостероидами. Если рост замедлился, терапию следует пересмотреть с целью уменьшения дозы ингаляционных </w:t>
      </w:r>
      <w:r w:rsidR="00A14400" w:rsidRPr="0037351D">
        <w:rPr>
          <w:szCs w:val="24"/>
          <w:lang w:val="ru-RU" w:eastAsia="ru-RU"/>
        </w:rPr>
        <w:t>кортикостероидов, если</w:t>
      </w:r>
      <w:r w:rsidR="00735910" w:rsidRPr="0037351D">
        <w:rPr>
          <w:szCs w:val="24"/>
          <w:lang w:val="ru-RU" w:eastAsia="ru-RU"/>
        </w:rPr>
        <w:t xml:space="preserve"> </w:t>
      </w:r>
      <w:r w:rsidR="00A14400" w:rsidRPr="0037351D">
        <w:rPr>
          <w:szCs w:val="24"/>
          <w:lang w:val="ru-RU" w:eastAsia="ru-RU"/>
        </w:rPr>
        <w:t xml:space="preserve">возможно </w:t>
      </w:r>
      <w:r w:rsidRPr="0037351D">
        <w:rPr>
          <w:szCs w:val="24"/>
          <w:lang w:val="ru-RU" w:eastAsia="ru-RU"/>
        </w:rPr>
        <w:t>– до минимальной дозы, которая поддерживала бы эффективный контроль симптомов астмы. Дополнительно ребенка следует проконсультировать у детского пульмонолога.</w:t>
      </w:r>
    </w:p>
    <w:p w14:paraId="30C23612" w14:textId="77777777" w:rsidR="00DA2852" w:rsidRPr="0037351D" w:rsidRDefault="00DA2852" w:rsidP="00A3433A">
      <w:pPr>
        <w:ind w:right="-1"/>
        <w:contextualSpacing/>
        <w:jc w:val="both"/>
        <w:rPr>
          <w:szCs w:val="24"/>
          <w:lang w:val="ru-RU" w:eastAsia="ru-RU"/>
        </w:rPr>
      </w:pPr>
      <w:r w:rsidRPr="0037351D">
        <w:rPr>
          <w:szCs w:val="24"/>
          <w:lang w:val="ru-RU" w:eastAsia="ru-RU"/>
        </w:rPr>
        <w:t>Некоторые пациенты могут отличаться повышенной чувствительностью к ингаляционным кортикостероидам, чем у большинства пациентов.</w:t>
      </w:r>
    </w:p>
    <w:p w14:paraId="25A129C8" w14:textId="77777777" w:rsidR="00DA2852" w:rsidRPr="0037351D" w:rsidRDefault="00DA2852" w:rsidP="00A3433A">
      <w:pPr>
        <w:ind w:right="-1"/>
        <w:contextualSpacing/>
        <w:jc w:val="both"/>
        <w:rPr>
          <w:szCs w:val="24"/>
          <w:lang w:val="ru-RU" w:eastAsia="ru-RU"/>
        </w:rPr>
      </w:pPr>
      <w:r w:rsidRPr="0037351D">
        <w:rPr>
          <w:szCs w:val="24"/>
          <w:lang w:val="ru-RU" w:eastAsia="ru-RU"/>
        </w:rPr>
        <w:t>Эффект от применения ингаляционного фл</w:t>
      </w:r>
      <w:r w:rsidR="005B0715" w:rsidRPr="0037351D">
        <w:rPr>
          <w:szCs w:val="24"/>
          <w:lang w:val="ru-RU" w:eastAsia="ru-RU"/>
        </w:rPr>
        <w:t>у</w:t>
      </w:r>
      <w:r w:rsidRPr="0037351D">
        <w:rPr>
          <w:szCs w:val="24"/>
          <w:lang w:val="ru-RU" w:eastAsia="ru-RU"/>
        </w:rPr>
        <w:t>тиказона пропионата должен уменьшить необходимость применения пероральных стероидов. Но при переходе от оральных стероидов на ингаляционный фл</w:t>
      </w:r>
      <w:r w:rsidR="005B0715" w:rsidRPr="0037351D">
        <w:rPr>
          <w:szCs w:val="24"/>
          <w:lang w:val="ru-RU" w:eastAsia="ru-RU"/>
        </w:rPr>
        <w:t>у</w:t>
      </w:r>
      <w:r w:rsidRPr="0037351D">
        <w:rPr>
          <w:szCs w:val="24"/>
          <w:lang w:val="ru-RU" w:eastAsia="ru-RU"/>
        </w:rPr>
        <w:t>тиказона пропионат у пациентов остается риск угнетения функции надпочечников. Возможность возникновения побочных реакций сохраняется в течение некоторого времени. Такие пациенты могут нуждаться в пребывании в специализированных консультациях для определения степени негативного влияния на надпочечники перед проведением некоторых процедур. Следует иметь в виду возможность остаточного нарушения функции надпочечников в неотложных ситуациях, включая хирургические вмешательства и другие стрессовые ситуации, и учесть необходимость назначения соответствующего лечения кортикостероидами.</w:t>
      </w:r>
    </w:p>
    <w:p w14:paraId="32CC9DF2" w14:textId="77777777" w:rsidR="00DA2852" w:rsidRPr="0037351D" w:rsidRDefault="00DA2852" w:rsidP="00A3433A">
      <w:pPr>
        <w:ind w:right="-1"/>
        <w:contextualSpacing/>
        <w:jc w:val="both"/>
        <w:rPr>
          <w:szCs w:val="24"/>
          <w:lang w:val="ru-RU" w:eastAsia="ru-RU"/>
        </w:rPr>
      </w:pPr>
      <w:r w:rsidRPr="0037351D">
        <w:rPr>
          <w:szCs w:val="24"/>
          <w:lang w:val="ru-RU" w:eastAsia="ru-RU"/>
        </w:rPr>
        <w:t>Пациентам необходимо получать дозы ингаляционного фл</w:t>
      </w:r>
      <w:r w:rsidR="005B0715" w:rsidRPr="0037351D">
        <w:rPr>
          <w:szCs w:val="24"/>
          <w:lang w:val="ru-RU" w:eastAsia="ru-RU"/>
        </w:rPr>
        <w:t>у</w:t>
      </w:r>
      <w:r w:rsidRPr="0037351D">
        <w:rPr>
          <w:szCs w:val="24"/>
          <w:lang w:val="ru-RU" w:eastAsia="ru-RU"/>
        </w:rPr>
        <w:t>тиказона пропионата, соответствующие тяжести их заболевания. Дозировку следует уменьшить до минимально</w:t>
      </w:r>
      <w:r w:rsidR="004D75EC" w:rsidRPr="0037351D">
        <w:rPr>
          <w:szCs w:val="24"/>
          <w:lang w:val="ru-RU" w:eastAsia="ru-RU"/>
        </w:rPr>
        <w:t>й</w:t>
      </w:r>
      <w:r w:rsidRPr="0037351D">
        <w:rPr>
          <w:szCs w:val="24"/>
          <w:lang w:val="ru-RU" w:eastAsia="ru-RU"/>
        </w:rPr>
        <w:t xml:space="preserve"> эффективной дозы, которая позволяет установить эффективный контроль над заболеванием. Применение системных стероидов и/или антибиотиков может быть необходимым, если эффективный контроль над заболеванием не установлен.</w:t>
      </w:r>
    </w:p>
    <w:p w14:paraId="6ED420E8" w14:textId="77777777" w:rsidR="00DA2852" w:rsidRPr="0037351D" w:rsidRDefault="00DA2852" w:rsidP="00A3433A">
      <w:pPr>
        <w:ind w:right="-1"/>
        <w:contextualSpacing/>
        <w:jc w:val="both"/>
        <w:rPr>
          <w:szCs w:val="24"/>
          <w:lang w:val="ru-RU" w:eastAsia="ru-RU"/>
        </w:rPr>
      </w:pPr>
      <w:r w:rsidRPr="0037351D">
        <w:rPr>
          <w:szCs w:val="24"/>
          <w:lang w:val="ru-RU" w:eastAsia="ru-RU"/>
        </w:rPr>
        <w:t>Замена системной стероидной терапии на ингаляционную иногда может демаскировать аллергические заболевания, такие как аллергический ринит или экзема, ранее контролируемые системным приемом стероидов. Эти аллергические проявления требуют симптоматического лечения антигистаминными средствами и/или препаратами для местного применения, в том числе кортикостероидами местного действия.</w:t>
      </w:r>
    </w:p>
    <w:p w14:paraId="5AFF55DF" w14:textId="77777777" w:rsidR="00DA2852" w:rsidRPr="0037351D" w:rsidRDefault="00DA2852" w:rsidP="00A3433A">
      <w:pPr>
        <w:ind w:right="-1"/>
        <w:contextualSpacing/>
        <w:jc w:val="both"/>
        <w:rPr>
          <w:szCs w:val="24"/>
          <w:lang w:val="ru-RU" w:eastAsia="ru-RU"/>
        </w:rPr>
      </w:pPr>
      <w:r w:rsidRPr="0037351D">
        <w:rPr>
          <w:szCs w:val="24"/>
          <w:lang w:val="ru-RU" w:eastAsia="ru-RU"/>
        </w:rPr>
        <w:t>Как и при применении всех ингаляционных кортикостероидов, особого внимания требуют пациенты с активной или латентной формой туберкулеза легких.</w:t>
      </w:r>
    </w:p>
    <w:p w14:paraId="108E33F1" w14:textId="77777777" w:rsidR="00DA2852" w:rsidRPr="0037351D" w:rsidRDefault="00DA2852" w:rsidP="00A3433A">
      <w:pPr>
        <w:ind w:right="-1"/>
        <w:contextualSpacing/>
        <w:jc w:val="both"/>
        <w:rPr>
          <w:szCs w:val="24"/>
          <w:lang w:val="ru-RU" w:eastAsia="ru-RU"/>
        </w:rPr>
      </w:pPr>
      <w:r w:rsidRPr="0037351D">
        <w:rPr>
          <w:szCs w:val="24"/>
          <w:lang w:val="ru-RU" w:eastAsia="ru-RU"/>
        </w:rPr>
        <w:t>Не рекомендуется резкое прекращение терапии Небуфлюзоном.</w:t>
      </w:r>
    </w:p>
    <w:p w14:paraId="3A6B558E" w14:textId="77777777" w:rsidR="00DA2852" w:rsidRPr="0037351D" w:rsidRDefault="00DA2852" w:rsidP="00A3433A">
      <w:pPr>
        <w:ind w:right="-1"/>
        <w:contextualSpacing/>
        <w:jc w:val="both"/>
        <w:rPr>
          <w:i/>
          <w:szCs w:val="24"/>
          <w:lang w:val="ru-RU" w:eastAsia="ru-RU"/>
        </w:rPr>
      </w:pPr>
      <w:r w:rsidRPr="0037351D">
        <w:rPr>
          <w:i/>
          <w:szCs w:val="24"/>
          <w:lang w:val="ru-RU" w:eastAsia="ru-RU"/>
        </w:rPr>
        <w:t>Перевод пациентов с орального применения ко</w:t>
      </w:r>
      <w:r w:rsidR="009B5A0B" w:rsidRPr="0037351D">
        <w:rPr>
          <w:i/>
          <w:szCs w:val="24"/>
          <w:lang w:val="ru-RU" w:eastAsia="ru-RU"/>
        </w:rPr>
        <w:t>ртикостероидов на ингаляционное</w:t>
      </w:r>
      <w:r w:rsidR="00A57D6C" w:rsidRPr="0037351D">
        <w:rPr>
          <w:i/>
          <w:szCs w:val="24"/>
          <w:lang w:val="ru-RU" w:eastAsia="ru-RU"/>
        </w:rPr>
        <w:t>.</w:t>
      </w:r>
    </w:p>
    <w:p w14:paraId="42BDFA7C" w14:textId="764977A7" w:rsidR="00DA2852" w:rsidRPr="0037351D" w:rsidRDefault="00DA2852" w:rsidP="00A3433A">
      <w:pPr>
        <w:ind w:right="-1"/>
        <w:contextualSpacing/>
        <w:jc w:val="both"/>
        <w:rPr>
          <w:szCs w:val="24"/>
          <w:lang w:val="ru-RU" w:eastAsia="ru-RU"/>
        </w:rPr>
      </w:pPr>
      <w:r w:rsidRPr="0037351D">
        <w:rPr>
          <w:szCs w:val="24"/>
          <w:lang w:val="ru-RU" w:eastAsia="ru-RU"/>
        </w:rPr>
        <w:t>Перевод пациентов, которые лечатся пероральными стероидами, на ингаляционное применение Небуфлюзона и их последующее лечение требует особого внимания, поскольку восстановление ослабленной вследствие длительной системной стероидной терапии функции надпочечников может потребовать длительного времени.</w:t>
      </w:r>
    </w:p>
    <w:p w14:paraId="0D3F2EFB" w14:textId="77777777" w:rsidR="00DA2852" w:rsidRPr="0037351D" w:rsidRDefault="00DA2852" w:rsidP="00A3433A">
      <w:pPr>
        <w:ind w:right="-1"/>
        <w:contextualSpacing/>
        <w:jc w:val="both"/>
        <w:rPr>
          <w:szCs w:val="24"/>
          <w:lang w:val="ru-RU" w:eastAsia="ru-RU"/>
        </w:rPr>
      </w:pPr>
      <w:r w:rsidRPr="0037351D">
        <w:rPr>
          <w:szCs w:val="24"/>
          <w:lang w:val="ru-RU" w:eastAsia="ru-RU"/>
        </w:rPr>
        <w:t xml:space="preserve">Длительное применение высоких доз ингаляционных кортикостероидов может вызвать угнетение функции надпочечников. Функции надпочечников таких пациентов следует </w:t>
      </w:r>
      <w:r w:rsidRPr="0037351D">
        <w:rPr>
          <w:szCs w:val="24"/>
          <w:lang w:val="ru-RU" w:eastAsia="ru-RU"/>
        </w:rPr>
        <w:lastRenderedPageBreak/>
        <w:t>регулярно контролировать. Дозы системных стероидов следует уменьшать с осторожностью (см. раздел «Способ применения и дозы»).</w:t>
      </w:r>
    </w:p>
    <w:p w14:paraId="4BFA150C" w14:textId="77777777" w:rsidR="00DA2852" w:rsidRPr="0037351D" w:rsidRDefault="00DA2852" w:rsidP="00A3433A">
      <w:pPr>
        <w:ind w:right="-1"/>
        <w:contextualSpacing/>
        <w:jc w:val="both"/>
        <w:rPr>
          <w:szCs w:val="24"/>
          <w:lang w:val="ru-RU" w:eastAsia="ru-RU"/>
        </w:rPr>
      </w:pPr>
      <w:r w:rsidRPr="0037351D">
        <w:rPr>
          <w:szCs w:val="24"/>
          <w:lang w:val="ru-RU" w:eastAsia="ru-RU"/>
        </w:rPr>
        <w:t>Некоторые пациенты испытывают неспецифическое ухудшение состояния в течение переходного периода, несмотря на поддержку или даже улучшение респираторных функций. Им следует продолжать переход с системных стероидов на лечение ингаляционным фл</w:t>
      </w:r>
      <w:r w:rsidR="005B0715" w:rsidRPr="0037351D">
        <w:rPr>
          <w:szCs w:val="24"/>
          <w:lang w:val="ru-RU" w:eastAsia="ru-RU"/>
        </w:rPr>
        <w:t>у</w:t>
      </w:r>
      <w:r w:rsidRPr="0037351D">
        <w:rPr>
          <w:szCs w:val="24"/>
          <w:lang w:val="ru-RU" w:eastAsia="ru-RU"/>
        </w:rPr>
        <w:t>тиказона пропионатом, за исключением появления объективных симптомов недостаточности надпочечников.</w:t>
      </w:r>
    </w:p>
    <w:p w14:paraId="54063A3C" w14:textId="77777777" w:rsidR="00DA2852" w:rsidRPr="0037351D" w:rsidRDefault="00DA2852" w:rsidP="00A3433A">
      <w:pPr>
        <w:ind w:right="-1"/>
        <w:contextualSpacing/>
        <w:jc w:val="both"/>
        <w:rPr>
          <w:szCs w:val="24"/>
          <w:lang w:val="ru-RU" w:eastAsia="ru-RU"/>
        </w:rPr>
      </w:pPr>
      <w:r w:rsidRPr="0037351D">
        <w:rPr>
          <w:szCs w:val="24"/>
          <w:lang w:val="ru-RU" w:eastAsia="ru-RU"/>
        </w:rPr>
        <w:t>Пациентам, прекратившим лечение оральными стероидами, но у которых функция надпочечников остается сниженной, необходимо иметь при себе специальную карточку с предупреждением о необходимости дополнительного введения системного стероида в стрессовых ситуациях, таких как острый приступ астмы, инфекции дыхательных путей, значительные интеркуррентные заболевания, хирургическое вмешательство, травмы.</w:t>
      </w:r>
    </w:p>
    <w:p w14:paraId="0DF4F793" w14:textId="77777777" w:rsidR="00DA2852" w:rsidRPr="0037351D" w:rsidRDefault="00DA2852" w:rsidP="00A3433A">
      <w:pPr>
        <w:ind w:right="-1"/>
        <w:contextualSpacing/>
        <w:jc w:val="both"/>
        <w:rPr>
          <w:bCs/>
          <w:iCs/>
          <w:szCs w:val="24"/>
          <w:lang w:val="ru-RU" w:eastAsia="ru-RU"/>
        </w:rPr>
      </w:pPr>
      <w:r w:rsidRPr="0037351D">
        <w:rPr>
          <w:szCs w:val="24"/>
          <w:lang w:val="ru-RU" w:eastAsia="ru-RU"/>
        </w:rPr>
        <w:t>Ритонавир может значительно повысить концентрацию фл</w:t>
      </w:r>
      <w:r w:rsidR="005B0715" w:rsidRPr="0037351D">
        <w:rPr>
          <w:szCs w:val="24"/>
          <w:lang w:val="ru-RU" w:eastAsia="ru-RU"/>
        </w:rPr>
        <w:t>у</w:t>
      </w:r>
      <w:r w:rsidRPr="0037351D">
        <w:rPr>
          <w:szCs w:val="24"/>
          <w:lang w:val="ru-RU" w:eastAsia="ru-RU"/>
        </w:rPr>
        <w:t>тиказона пропионата в плазме. Поэтому следует избегать одновременного применения фл</w:t>
      </w:r>
      <w:r w:rsidR="005B0715" w:rsidRPr="0037351D">
        <w:rPr>
          <w:szCs w:val="24"/>
          <w:lang w:val="ru-RU" w:eastAsia="ru-RU"/>
        </w:rPr>
        <w:t>у</w:t>
      </w:r>
      <w:r w:rsidRPr="0037351D">
        <w:rPr>
          <w:szCs w:val="24"/>
          <w:lang w:val="ru-RU" w:eastAsia="ru-RU"/>
        </w:rPr>
        <w:t>тиказона пропионата и ритонавира, за исключением случаев, когда польза от такого применения будет превышать риск системного влияния кортикостероидов. Также существует повышенный риск возникновения системного влияния фл</w:t>
      </w:r>
      <w:r w:rsidR="005B0715" w:rsidRPr="0037351D">
        <w:rPr>
          <w:szCs w:val="24"/>
          <w:lang w:val="ru-RU" w:eastAsia="ru-RU"/>
        </w:rPr>
        <w:t>у</w:t>
      </w:r>
      <w:r w:rsidRPr="0037351D">
        <w:rPr>
          <w:szCs w:val="24"/>
          <w:lang w:val="ru-RU" w:eastAsia="ru-RU"/>
        </w:rPr>
        <w:t>тиказона пропионата при одновременном применении с CYP3A4 ингибиторами (см. раздел «</w:t>
      </w:r>
      <w:r w:rsidRPr="0037351D">
        <w:rPr>
          <w:bCs/>
          <w:iCs/>
          <w:szCs w:val="24"/>
          <w:lang w:val="ru-RU" w:eastAsia="ru-RU"/>
        </w:rPr>
        <w:t>Взаимодействие с другими лекарственными средствами и другие виды взаимодействий</w:t>
      </w:r>
      <w:r w:rsidRPr="0037351D">
        <w:rPr>
          <w:szCs w:val="24"/>
          <w:lang w:val="ru-RU" w:eastAsia="ru-RU"/>
        </w:rPr>
        <w:t>»).</w:t>
      </w:r>
    </w:p>
    <w:p w14:paraId="09CA8BD6" w14:textId="77777777" w:rsidR="0086323A" w:rsidRPr="0037351D" w:rsidRDefault="0086323A" w:rsidP="00A3433A">
      <w:pPr>
        <w:pStyle w:val="Markers"/>
        <w:spacing w:line="240" w:lineRule="auto"/>
        <w:ind w:right="-1"/>
        <w:contextualSpacing/>
        <w:rPr>
          <w:rFonts w:ascii="Times New Roman" w:hAnsi="Times New Roman"/>
          <w:i/>
          <w:color w:val="auto"/>
          <w:sz w:val="24"/>
          <w:szCs w:val="24"/>
          <w:lang w:val="ru-RU"/>
        </w:rPr>
      </w:pPr>
      <w:r w:rsidRPr="0037351D">
        <w:rPr>
          <w:rFonts w:ascii="Times New Roman" w:hAnsi="Times New Roman"/>
          <w:i/>
          <w:color w:val="auto"/>
          <w:sz w:val="24"/>
          <w:szCs w:val="24"/>
          <w:lang w:val="ru-RU"/>
        </w:rPr>
        <w:t>Нарушение зрения</w:t>
      </w:r>
    </w:p>
    <w:p w14:paraId="3A634485" w14:textId="77777777" w:rsidR="00DA2852" w:rsidRPr="0037351D" w:rsidRDefault="0086323A"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Нарушение зрения может наблюдаться при системном и местном применении кортикостероидов. Если пациент имеет такие симптомы, как нарушение четкости зрения или другие нарушения зрения, его следует направить к офтальмологу для оценки возможных причин, которые могут включать катаракту, глаукому или такие редкие болезни, как центральная серозная хориоретинопатия, о возникновении которых сообщалось после использования системных и местных кортикостероидов.</w:t>
      </w:r>
    </w:p>
    <w:p w14:paraId="0D486980" w14:textId="77777777" w:rsidR="0086323A" w:rsidRPr="0037351D" w:rsidRDefault="0086323A" w:rsidP="00A3433A">
      <w:pPr>
        <w:pStyle w:val="Markers"/>
        <w:spacing w:after="0" w:line="240" w:lineRule="auto"/>
        <w:ind w:right="-1"/>
        <w:contextualSpacing/>
        <w:rPr>
          <w:rFonts w:ascii="Times New Roman" w:hAnsi="Times New Roman"/>
          <w:b/>
          <w:color w:val="auto"/>
          <w:sz w:val="24"/>
          <w:szCs w:val="24"/>
          <w:lang w:val="ru-RU"/>
        </w:rPr>
      </w:pPr>
    </w:p>
    <w:p w14:paraId="2E041C68" w14:textId="3F08788B" w:rsidR="00844586" w:rsidRPr="0037351D" w:rsidRDefault="00844586" w:rsidP="00A3433A">
      <w:pPr>
        <w:ind w:right="-1"/>
        <w:contextualSpacing/>
        <w:jc w:val="both"/>
        <w:rPr>
          <w:bCs/>
          <w:i/>
          <w:iCs/>
          <w:szCs w:val="24"/>
          <w:lang w:val="ru-RU"/>
        </w:rPr>
      </w:pPr>
      <w:r w:rsidRPr="0037351D">
        <w:rPr>
          <w:bCs/>
          <w:i/>
          <w:iCs/>
          <w:szCs w:val="24"/>
          <w:lang w:val="ru-RU"/>
        </w:rPr>
        <w:t>Применение в период беременности или кормления грудью</w:t>
      </w:r>
    </w:p>
    <w:p w14:paraId="6EC29181" w14:textId="77777777" w:rsidR="00844586" w:rsidRPr="0037351D" w:rsidRDefault="00844586" w:rsidP="00A3433A">
      <w:pPr>
        <w:pStyle w:val="Markers"/>
        <w:spacing w:after="0" w:line="240" w:lineRule="auto"/>
        <w:ind w:right="-1"/>
        <w:contextualSpacing/>
        <w:rPr>
          <w:rFonts w:ascii="Times New Roman" w:hAnsi="Times New Roman"/>
          <w:i/>
          <w:color w:val="auto"/>
          <w:sz w:val="24"/>
          <w:szCs w:val="24"/>
          <w:u w:val="single"/>
          <w:lang w:val="ru-RU"/>
        </w:rPr>
      </w:pPr>
      <w:r w:rsidRPr="0037351D">
        <w:rPr>
          <w:rFonts w:ascii="Times New Roman" w:hAnsi="Times New Roman"/>
          <w:i/>
          <w:color w:val="auto"/>
          <w:sz w:val="24"/>
          <w:szCs w:val="24"/>
          <w:u w:val="single"/>
          <w:lang w:val="ru-RU"/>
        </w:rPr>
        <w:t>Фертильность</w:t>
      </w:r>
    </w:p>
    <w:p w14:paraId="3954E5E5" w14:textId="77777777" w:rsidR="00844586" w:rsidRPr="0037351D" w:rsidRDefault="00844586"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Нет данных о влиянии на фертильность человека. Опыты, проведенные на животных, не показали влияния фл</w:t>
      </w:r>
      <w:r w:rsidR="005B0715" w:rsidRPr="0037351D">
        <w:rPr>
          <w:rFonts w:ascii="Times New Roman" w:hAnsi="Times New Roman"/>
          <w:color w:val="auto"/>
          <w:sz w:val="24"/>
          <w:szCs w:val="24"/>
          <w:lang w:val="ru-RU"/>
        </w:rPr>
        <w:t>у</w:t>
      </w:r>
      <w:r w:rsidRPr="0037351D">
        <w:rPr>
          <w:rFonts w:ascii="Times New Roman" w:hAnsi="Times New Roman"/>
          <w:color w:val="auto"/>
          <w:sz w:val="24"/>
          <w:szCs w:val="24"/>
          <w:lang w:val="ru-RU"/>
        </w:rPr>
        <w:t>тиказона пропионата на фертильность.</w:t>
      </w:r>
    </w:p>
    <w:p w14:paraId="0904488E" w14:textId="77777777" w:rsidR="00844586" w:rsidRPr="0037351D" w:rsidRDefault="00844586" w:rsidP="00A3433A">
      <w:pPr>
        <w:pStyle w:val="Markers"/>
        <w:spacing w:after="0" w:line="240" w:lineRule="auto"/>
        <w:ind w:right="-1"/>
        <w:contextualSpacing/>
        <w:rPr>
          <w:rFonts w:ascii="Times New Roman" w:hAnsi="Times New Roman"/>
          <w:i/>
          <w:color w:val="auto"/>
          <w:sz w:val="24"/>
          <w:szCs w:val="24"/>
          <w:u w:val="single"/>
          <w:lang w:val="ru-RU"/>
        </w:rPr>
      </w:pPr>
      <w:r w:rsidRPr="0037351D">
        <w:rPr>
          <w:rFonts w:ascii="Times New Roman" w:hAnsi="Times New Roman"/>
          <w:i/>
          <w:color w:val="auto"/>
          <w:sz w:val="24"/>
          <w:szCs w:val="24"/>
          <w:u w:val="single"/>
          <w:lang w:val="ru-RU"/>
        </w:rPr>
        <w:t>Беременность</w:t>
      </w:r>
    </w:p>
    <w:p w14:paraId="04601235" w14:textId="77777777" w:rsidR="00844586" w:rsidRPr="0037351D" w:rsidRDefault="00844586"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Опыт применения в период беременности у людей ограничен.</w:t>
      </w:r>
    </w:p>
    <w:p w14:paraId="74A72B94" w14:textId="77777777" w:rsidR="00996CE8" w:rsidRPr="0037351D" w:rsidRDefault="00844586"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 xml:space="preserve">При решении вопроса о назначении препарата в этот период нужно взвесить ожидаемую пользу для матери и потенциальный риск для плода. </w:t>
      </w:r>
      <w:r w:rsidR="00996CE8" w:rsidRPr="0037351D">
        <w:rPr>
          <w:rFonts w:ascii="Times New Roman" w:hAnsi="Times New Roman"/>
          <w:color w:val="auto"/>
          <w:sz w:val="24"/>
          <w:szCs w:val="24"/>
          <w:lang w:val="ru-RU"/>
        </w:rPr>
        <w:t>Важно, чтобы доза ингаляционного кортикостероида титровалась до самой низкой дозы, при которой поддерживается эффективный контроль. Лечение флутиказона пропионатом не следует резко прекращать.</w:t>
      </w:r>
    </w:p>
    <w:p w14:paraId="4C3FD309" w14:textId="77777777" w:rsidR="00844586" w:rsidRPr="0037351D" w:rsidRDefault="00844586"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Результаты ретроспективного эпидемиологического исследования не выявили повышенного риска значительных врожденных пороков развития после экспозиции фл</w:t>
      </w:r>
      <w:r w:rsidR="005B0715" w:rsidRPr="0037351D">
        <w:rPr>
          <w:rFonts w:ascii="Times New Roman" w:hAnsi="Times New Roman"/>
          <w:color w:val="auto"/>
          <w:sz w:val="24"/>
          <w:szCs w:val="24"/>
          <w:lang w:val="ru-RU"/>
        </w:rPr>
        <w:t>у</w:t>
      </w:r>
      <w:r w:rsidRPr="0037351D">
        <w:rPr>
          <w:rFonts w:ascii="Times New Roman" w:hAnsi="Times New Roman"/>
          <w:color w:val="auto"/>
          <w:sz w:val="24"/>
          <w:szCs w:val="24"/>
          <w:lang w:val="ru-RU"/>
        </w:rPr>
        <w:t>тиказона пропионатом в течение первого триместра беременности по сравнению с другими ингаляционными кортикостероидами.</w:t>
      </w:r>
    </w:p>
    <w:p w14:paraId="478FED4A" w14:textId="77777777" w:rsidR="00996CE8" w:rsidRPr="0037351D" w:rsidRDefault="00916B8E"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И</w:t>
      </w:r>
      <w:r w:rsidR="00996CE8" w:rsidRPr="0037351D">
        <w:rPr>
          <w:rFonts w:ascii="Times New Roman" w:hAnsi="Times New Roman"/>
          <w:color w:val="auto"/>
          <w:sz w:val="24"/>
          <w:szCs w:val="24"/>
          <w:lang w:val="ru-RU"/>
        </w:rPr>
        <w:t>сследования</w:t>
      </w:r>
      <w:r w:rsidRPr="0037351D">
        <w:rPr>
          <w:rFonts w:ascii="Times New Roman" w:hAnsi="Times New Roman"/>
          <w:color w:val="auto"/>
          <w:sz w:val="24"/>
          <w:szCs w:val="24"/>
          <w:lang w:val="ru-RU"/>
        </w:rPr>
        <w:t xml:space="preserve"> репродуктивной функции</w:t>
      </w:r>
      <w:r w:rsidR="00996CE8" w:rsidRPr="0037351D">
        <w:rPr>
          <w:rFonts w:ascii="Times New Roman" w:hAnsi="Times New Roman"/>
          <w:color w:val="auto"/>
          <w:sz w:val="24"/>
          <w:szCs w:val="24"/>
          <w:lang w:val="ru-RU"/>
        </w:rPr>
        <w:t xml:space="preserve"> </w:t>
      </w:r>
      <w:r w:rsidRPr="0037351D">
        <w:rPr>
          <w:rFonts w:ascii="Times New Roman" w:hAnsi="Times New Roman"/>
          <w:color w:val="auto"/>
          <w:sz w:val="24"/>
          <w:szCs w:val="24"/>
          <w:lang w:val="ru-RU"/>
        </w:rPr>
        <w:t>у</w:t>
      </w:r>
      <w:r w:rsidR="00996CE8" w:rsidRPr="0037351D">
        <w:rPr>
          <w:rFonts w:ascii="Times New Roman" w:hAnsi="Times New Roman"/>
          <w:color w:val="auto"/>
          <w:sz w:val="24"/>
          <w:szCs w:val="24"/>
          <w:lang w:val="ru-RU"/>
        </w:rPr>
        <w:t xml:space="preserve"> животных показали только те эффекты, которые характерны для глюкокортикостероидов при системном воздействии, превышающие эффекты, наблюдаемые при рекомендуемой </w:t>
      </w:r>
      <w:r w:rsidRPr="0037351D">
        <w:rPr>
          <w:rFonts w:ascii="Times New Roman" w:hAnsi="Times New Roman"/>
          <w:color w:val="auto"/>
          <w:sz w:val="24"/>
          <w:szCs w:val="24"/>
          <w:lang w:val="ru-RU"/>
        </w:rPr>
        <w:t>ингаляционной</w:t>
      </w:r>
      <w:r w:rsidR="00996CE8" w:rsidRPr="0037351D">
        <w:rPr>
          <w:rFonts w:ascii="Times New Roman" w:hAnsi="Times New Roman"/>
          <w:color w:val="auto"/>
          <w:sz w:val="24"/>
          <w:szCs w:val="24"/>
          <w:lang w:val="ru-RU"/>
        </w:rPr>
        <w:t xml:space="preserve"> терапевтической дозе. Существует недостаточно доказательств безопасности флутиказона пропионата </w:t>
      </w:r>
      <w:r w:rsidR="00527CA7" w:rsidRPr="0037351D">
        <w:rPr>
          <w:rFonts w:ascii="Times New Roman" w:hAnsi="Times New Roman"/>
          <w:color w:val="auto"/>
          <w:sz w:val="24"/>
          <w:szCs w:val="24"/>
          <w:lang w:val="ru-RU"/>
        </w:rPr>
        <w:t>во время</w:t>
      </w:r>
      <w:r w:rsidR="00996CE8" w:rsidRPr="0037351D">
        <w:rPr>
          <w:rFonts w:ascii="Times New Roman" w:hAnsi="Times New Roman"/>
          <w:color w:val="auto"/>
          <w:sz w:val="24"/>
          <w:szCs w:val="24"/>
          <w:lang w:val="ru-RU"/>
        </w:rPr>
        <w:t xml:space="preserve"> беременности человека. Введение кортикостероидов беременным животным может вызвать нарушения развития плода, включая расщелину неба и задержку внутриутробного развития. Поэтому может быть очень маленький риск таких эффектов для человеческого плода. Следует, однако, отметить, что внутриутробные изменения у животных происходят после относительно высокого системного воздействия. Поскольку флутиказона пропионат </w:t>
      </w:r>
      <w:r w:rsidRPr="0037351D">
        <w:rPr>
          <w:rFonts w:ascii="Times New Roman" w:hAnsi="Times New Roman"/>
          <w:color w:val="auto"/>
          <w:sz w:val="24"/>
          <w:szCs w:val="24"/>
          <w:lang w:val="ru-RU"/>
        </w:rPr>
        <w:t>доставл</w:t>
      </w:r>
      <w:r w:rsidR="00527CA7" w:rsidRPr="0037351D">
        <w:rPr>
          <w:rFonts w:ascii="Times New Roman" w:hAnsi="Times New Roman"/>
          <w:color w:val="auto"/>
          <w:sz w:val="24"/>
          <w:szCs w:val="24"/>
          <w:lang w:val="ru-RU"/>
        </w:rPr>
        <w:t>я</w:t>
      </w:r>
      <w:r w:rsidRPr="0037351D">
        <w:rPr>
          <w:rFonts w:ascii="Times New Roman" w:hAnsi="Times New Roman"/>
          <w:color w:val="auto"/>
          <w:sz w:val="24"/>
          <w:szCs w:val="24"/>
          <w:lang w:val="ru-RU"/>
        </w:rPr>
        <w:t xml:space="preserve">ют </w:t>
      </w:r>
      <w:r w:rsidR="00996CE8" w:rsidRPr="0037351D">
        <w:rPr>
          <w:rFonts w:ascii="Times New Roman" w:hAnsi="Times New Roman"/>
          <w:color w:val="auto"/>
          <w:sz w:val="24"/>
          <w:szCs w:val="24"/>
          <w:lang w:val="ru-RU"/>
        </w:rPr>
        <w:t xml:space="preserve">непосредственно в легкие по </w:t>
      </w:r>
      <w:r w:rsidRPr="0037351D">
        <w:rPr>
          <w:rFonts w:ascii="Times New Roman" w:hAnsi="Times New Roman"/>
          <w:color w:val="auto"/>
          <w:sz w:val="24"/>
          <w:szCs w:val="24"/>
          <w:lang w:val="ru-RU"/>
        </w:rPr>
        <w:t>дыхательным путям</w:t>
      </w:r>
      <w:r w:rsidR="00996CE8" w:rsidRPr="0037351D">
        <w:rPr>
          <w:rFonts w:ascii="Times New Roman" w:hAnsi="Times New Roman"/>
          <w:color w:val="auto"/>
          <w:sz w:val="24"/>
          <w:szCs w:val="24"/>
          <w:lang w:val="ru-RU"/>
        </w:rPr>
        <w:t xml:space="preserve">, избегают высокого уровня воздействия, которое возникает, когда кортикостероиды вводятся системными путями. </w:t>
      </w:r>
      <w:r w:rsidRPr="0037351D">
        <w:rPr>
          <w:rFonts w:ascii="Times New Roman" w:hAnsi="Times New Roman"/>
          <w:color w:val="auto"/>
          <w:sz w:val="24"/>
          <w:szCs w:val="24"/>
          <w:lang w:val="ru-RU"/>
        </w:rPr>
        <w:lastRenderedPageBreak/>
        <w:t>Применение</w:t>
      </w:r>
      <w:r w:rsidR="00996CE8" w:rsidRPr="0037351D">
        <w:rPr>
          <w:rFonts w:ascii="Times New Roman" w:hAnsi="Times New Roman"/>
          <w:color w:val="auto"/>
          <w:sz w:val="24"/>
          <w:szCs w:val="24"/>
          <w:lang w:val="ru-RU"/>
        </w:rPr>
        <w:t xml:space="preserve"> флутиказона пропионата во время беременности следует рассматривать только в том случае, если ожидаемая польза для матери превышает любой возможный риск для плода (см. </w:t>
      </w:r>
      <w:r w:rsidRPr="0037351D">
        <w:rPr>
          <w:rFonts w:ascii="Times New Roman" w:hAnsi="Times New Roman"/>
          <w:color w:val="auto"/>
          <w:sz w:val="24"/>
          <w:szCs w:val="24"/>
          <w:lang w:val="ru-RU"/>
        </w:rPr>
        <w:t>р</w:t>
      </w:r>
      <w:r w:rsidR="00996CE8" w:rsidRPr="0037351D">
        <w:rPr>
          <w:rFonts w:ascii="Times New Roman" w:hAnsi="Times New Roman"/>
          <w:color w:val="auto"/>
          <w:sz w:val="24"/>
          <w:szCs w:val="24"/>
          <w:lang w:val="ru-RU"/>
        </w:rPr>
        <w:t xml:space="preserve">аздел </w:t>
      </w:r>
      <w:r w:rsidR="00A55268" w:rsidRPr="0037351D">
        <w:rPr>
          <w:rFonts w:ascii="Times New Roman" w:hAnsi="Times New Roman"/>
          <w:color w:val="auto"/>
          <w:sz w:val="24"/>
          <w:szCs w:val="24"/>
          <w:lang w:val="ru-RU"/>
        </w:rPr>
        <w:t>«Фармакокинетика»</w:t>
      </w:r>
      <w:r w:rsidR="00996CE8" w:rsidRPr="0037351D">
        <w:rPr>
          <w:rFonts w:ascii="Times New Roman" w:hAnsi="Times New Roman"/>
          <w:color w:val="auto"/>
          <w:sz w:val="24"/>
          <w:szCs w:val="24"/>
          <w:lang w:val="ru-RU"/>
        </w:rPr>
        <w:t>).</w:t>
      </w:r>
    </w:p>
    <w:p w14:paraId="778F14BC" w14:textId="77777777" w:rsidR="00844586" w:rsidRPr="0037351D" w:rsidRDefault="00844586" w:rsidP="00A3433A">
      <w:pPr>
        <w:pStyle w:val="Markers"/>
        <w:spacing w:after="0" w:line="240" w:lineRule="auto"/>
        <w:ind w:right="-1"/>
        <w:contextualSpacing/>
        <w:rPr>
          <w:rFonts w:ascii="Times New Roman" w:hAnsi="Times New Roman"/>
          <w:i/>
          <w:color w:val="auto"/>
          <w:sz w:val="24"/>
          <w:szCs w:val="24"/>
          <w:u w:val="single"/>
          <w:lang w:val="ru-RU"/>
        </w:rPr>
      </w:pPr>
      <w:r w:rsidRPr="0037351D">
        <w:rPr>
          <w:rFonts w:ascii="Times New Roman" w:hAnsi="Times New Roman"/>
          <w:i/>
          <w:color w:val="auto"/>
          <w:sz w:val="24"/>
          <w:szCs w:val="24"/>
          <w:u w:val="single"/>
          <w:lang w:val="ru-RU"/>
        </w:rPr>
        <w:t>Кормление грудью</w:t>
      </w:r>
    </w:p>
    <w:p w14:paraId="471B5CDE" w14:textId="77777777" w:rsidR="00844586" w:rsidRPr="0037351D" w:rsidRDefault="00844586"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color w:val="auto"/>
          <w:sz w:val="24"/>
          <w:szCs w:val="24"/>
          <w:lang w:val="ru-RU"/>
        </w:rPr>
        <w:t>В настоящее время не установлено, проникает ли фл</w:t>
      </w:r>
      <w:r w:rsidR="005B0715" w:rsidRPr="0037351D">
        <w:rPr>
          <w:rFonts w:ascii="Times New Roman" w:hAnsi="Times New Roman"/>
          <w:color w:val="auto"/>
          <w:sz w:val="24"/>
          <w:szCs w:val="24"/>
          <w:lang w:val="ru-RU"/>
        </w:rPr>
        <w:t>у</w:t>
      </w:r>
      <w:r w:rsidRPr="0037351D">
        <w:rPr>
          <w:rFonts w:ascii="Times New Roman" w:hAnsi="Times New Roman"/>
          <w:color w:val="auto"/>
          <w:sz w:val="24"/>
          <w:szCs w:val="24"/>
          <w:lang w:val="ru-RU"/>
        </w:rPr>
        <w:t>тика</w:t>
      </w:r>
      <w:r w:rsidR="00916B8E" w:rsidRPr="0037351D">
        <w:rPr>
          <w:rFonts w:ascii="Times New Roman" w:hAnsi="Times New Roman"/>
          <w:color w:val="auto"/>
          <w:sz w:val="24"/>
          <w:szCs w:val="24"/>
          <w:lang w:val="ru-RU"/>
        </w:rPr>
        <w:t>зона пропионат в грудное молоко.</w:t>
      </w:r>
      <w:r w:rsidRPr="0037351D">
        <w:rPr>
          <w:rFonts w:ascii="Times New Roman" w:hAnsi="Times New Roman"/>
          <w:color w:val="auto"/>
          <w:sz w:val="24"/>
          <w:szCs w:val="24"/>
          <w:lang w:val="ru-RU"/>
        </w:rPr>
        <w:t xml:space="preserve"> </w:t>
      </w:r>
      <w:r w:rsidR="005C478D" w:rsidRPr="0037351D">
        <w:rPr>
          <w:rFonts w:ascii="Times New Roman" w:hAnsi="Times New Roman"/>
          <w:color w:val="auto"/>
          <w:sz w:val="24"/>
          <w:szCs w:val="24"/>
          <w:lang w:val="ru-RU"/>
        </w:rPr>
        <w:t>Исследования на животных показали, что после подкожного введения лактирующим самкам</w:t>
      </w:r>
      <w:r w:rsidR="0056653E" w:rsidRPr="0037351D">
        <w:rPr>
          <w:rFonts w:ascii="Times New Roman" w:hAnsi="Times New Roman"/>
          <w:color w:val="auto"/>
          <w:sz w:val="24"/>
          <w:szCs w:val="24"/>
          <w:lang w:val="ru-RU"/>
        </w:rPr>
        <w:t xml:space="preserve"> имелись признаки проникновения флутиказона пропионата в грудное молоко. Однако уровни в плазме у пациентов после ингаляционного применения флутиказона пропионата в рекомендуемых дозах, вероятно, будут низкими.</w:t>
      </w:r>
      <w:r w:rsidRPr="0037351D">
        <w:rPr>
          <w:rFonts w:ascii="Times New Roman" w:hAnsi="Times New Roman"/>
          <w:color w:val="auto"/>
          <w:sz w:val="24"/>
          <w:szCs w:val="24"/>
          <w:lang w:val="ru-RU"/>
        </w:rPr>
        <w:t xml:space="preserve"> Применять препарат в период кормления грудью можно только тогда, когда ожидаемая польза для матери превышает потенциальный риск для </w:t>
      </w:r>
      <w:r w:rsidR="0056653E" w:rsidRPr="0037351D">
        <w:rPr>
          <w:rFonts w:ascii="Times New Roman" w:hAnsi="Times New Roman"/>
          <w:color w:val="auto"/>
          <w:sz w:val="24"/>
          <w:szCs w:val="24"/>
          <w:lang w:val="ru-RU"/>
        </w:rPr>
        <w:t>ребенка</w:t>
      </w:r>
      <w:r w:rsidRPr="0037351D">
        <w:rPr>
          <w:rFonts w:ascii="Times New Roman" w:hAnsi="Times New Roman"/>
          <w:color w:val="auto"/>
          <w:sz w:val="24"/>
          <w:szCs w:val="24"/>
          <w:lang w:val="ru-RU"/>
        </w:rPr>
        <w:t>.</w:t>
      </w:r>
    </w:p>
    <w:p w14:paraId="7FC69220" w14:textId="77777777" w:rsidR="00844586" w:rsidRPr="0037351D" w:rsidRDefault="00844586" w:rsidP="00A3433A">
      <w:pPr>
        <w:pStyle w:val="Markers"/>
        <w:spacing w:after="0" w:line="240" w:lineRule="auto"/>
        <w:ind w:right="-1"/>
        <w:contextualSpacing/>
        <w:rPr>
          <w:rFonts w:ascii="Times New Roman" w:hAnsi="Times New Roman"/>
          <w:color w:val="auto"/>
          <w:sz w:val="24"/>
          <w:szCs w:val="24"/>
          <w:lang w:val="ru-RU"/>
        </w:rPr>
      </w:pPr>
    </w:p>
    <w:p w14:paraId="7FE0E1E3" w14:textId="6747F219" w:rsidR="00844586" w:rsidRPr="0037351D" w:rsidRDefault="00844586" w:rsidP="00A3433A">
      <w:pPr>
        <w:ind w:right="-1"/>
        <w:contextualSpacing/>
        <w:jc w:val="both"/>
        <w:rPr>
          <w:bCs/>
          <w:i/>
          <w:iCs/>
          <w:szCs w:val="24"/>
          <w:lang w:val="ru-RU" w:eastAsia="ru-RU"/>
        </w:rPr>
      </w:pPr>
      <w:r w:rsidRPr="0037351D">
        <w:rPr>
          <w:bCs/>
          <w:i/>
          <w:iCs/>
          <w:szCs w:val="24"/>
          <w:lang w:val="ru-RU" w:eastAsia="ru-RU"/>
        </w:rPr>
        <w:t>Способность влиять на скорость реакции при управлении автотранспортом или другими механизмами</w:t>
      </w:r>
    </w:p>
    <w:p w14:paraId="7146C2DD" w14:textId="77777777" w:rsidR="00844586" w:rsidRPr="0037351D" w:rsidRDefault="00844586" w:rsidP="00A3433A">
      <w:pPr>
        <w:ind w:right="-1"/>
        <w:contextualSpacing/>
        <w:jc w:val="both"/>
        <w:rPr>
          <w:b/>
          <w:bCs/>
          <w:i/>
          <w:iCs/>
          <w:szCs w:val="24"/>
          <w:lang w:val="ru-RU" w:eastAsia="ru-RU"/>
        </w:rPr>
      </w:pPr>
      <w:r w:rsidRPr="0037351D">
        <w:rPr>
          <w:szCs w:val="24"/>
          <w:lang w:val="ru-RU" w:eastAsia="ru-RU"/>
        </w:rPr>
        <w:t>Любое влияние маловероятно.</w:t>
      </w:r>
    </w:p>
    <w:p w14:paraId="42AE8CCC" w14:textId="77777777" w:rsidR="00844586" w:rsidRPr="0037351D" w:rsidRDefault="00844586" w:rsidP="00A3433A">
      <w:pPr>
        <w:pStyle w:val="Markers"/>
        <w:spacing w:after="0" w:line="240" w:lineRule="auto"/>
        <w:ind w:right="-1"/>
        <w:contextualSpacing/>
        <w:rPr>
          <w:rFonts w:ascii="Times New Roman" w:hAnsi="Times New Roman"/>
          <w:b/>
          <w:color w:val="auto"/>
          <w:sz w:val="24"/>
          <w:szCs w:val="24"/>
          <w:lang w:val="ru-RU"/>
        </w:rPr>
      </w:pPr>
    </w:p>
    <w:p w14:paraId="3D5C5955" w14:textId="77777777" w:rsidR="004F62B5" w:rsidRPr="0037351D" w:rsidRDefault="00893C35"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b/>
          <w:color w:val="auto"/>
          <w:sz w:val="24"/>
          <w:szCs w:val="24"/>
          <w:lang w:val="ru-RU"/>
        </w:rPr>
        <w:t>Способ применения и дозы</w:t>
      </w:r>
    </w:p>
    <w:p w14:paraId="1ADBE8F3"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Препарат предназначен только для ингаляционного применения.</w:t>
      </w:r>
      <w:r w:rsidR="007B18E5" w:rsidRPr="0037351D">
        <w:rPr>
          <w:rFonts w:ascii="Times New Roman" w:hAnsi="Times New Roman"/>
          <w:color w:val="auto"/>
          <w:sz w:val="24"/>
          <w:szCs w:val="24"/>
          <w:lang w:val="ru-RU" w:eastAsia="ru-RU"/>
        </w:rPr>
        <w:t xml:space="preserve"> Небуфлюзон нельзя вводить перорально или в виде инъекций.</w:t>
      </w:r>
    </w:p>
    <w:p w14:paraId="0184684E"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Небуфлюзон следует назначать в виде аэрозоля из струйного небулайзера. Поскольку на доставку препарата влияют многочисленные факторы, следует придерживаться рекомендаций производителя, который выпускает небулайзеры.</w:t>
      </w:r>
    </w:p>
    <w:p w14:paraId="4FA22A63"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Применять Небуфлюзон</w:t>
      </w:r>
      <w:r w:rsidR="00CB7A7B" w:rsidRPr="0037351D">
        <w:rPr>
          <w:rFonts w:ascii="Times New Roman" w:hAnsi="Times New Roman"/>
          <w:color w:val="auto"/>
          <w:sz w:val="24"/>
          <w:szCs w:val="24"/>
          <w:lang w:val="ru-RU" w:eastAsia="ru-RU"/>
        </w:rPr>
        <w:t xml:space="preserve"> </w:t>
      </w:r>
      <w:r w:rsidRPr="0037351D">
        <w:rPr>
          <w:rFonts w:ascii="Times New Roman" w:hAnsi="Times New Roman"/>
          <w:color w:val="auto"/>
          <w:sz w:val="24"/>
          <w:szCs w:val="24"/>
          <w:lang w:val="ru-RU" w:eastAsia="ru-RU"/>
        </w:rPr>
        <w:t>с помощью ультразвуковых небулайзеров, как правило, не рекомендуется.</w:t>
      </w:r>
    </w:p>
    <w:p w14:paraId="1B40FEB2"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Пациентов необходимо предупредить о том, что лечение ингаляционным фл</w:t>
      </w:r>
      <w:r w:rsidR="005B0715" w:rsidRPr="0037351D">
        <w:rPr>
          <w:rFonts w:ascii="Times New Roman" w:hAnsi="Times New Roman"/>
          <w:color w:val="auto"/>
          <w:sz w:val="24"/>
          <w:szCs w:val="24"/>
          <w:lang w:val="ru-RU" w:eastAsia="ru-RU"/>
        </w:rPr>
        <w:t>у</w:t>
      </w:r>
      <w:r w:rsidRPr="0037351D">
        <w:rPr>
          <w:rFonts w:ascii="Times New Roman" w:hAnsi="Times New Roman"/>
          <w:color w:val="auto"/>
          <w:sz w:val="24"/>
          <w:szCs w:val="24"/>
          <w:lang w:val="ru-RU" w:eastAsia="ru-RU"/>
        </w:rPr>
        <w:t>тиказона пропионатом является профилактическим и поэтому его необходимо проводить регулярно даже при отсутствии симптомов.</w:t>
      </w:r>
    </w:p>
    <w:p w14:paraId="2777B2BB"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В случае уменьшения эффективности бронходилататоров короткого действия или необходимости более частого их применения пациенту следует обратиться к врачу.</w:t>
      </w:r>
    </w:p>
    <w:p w14:paraId="36106F06"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Начальная доза должна соответствовать степени тяжести заболевания. Дозировка может быть повышена до достижения контроля или уменьшена до минимальной эффективной дозы, которая позволяет установить эффективный контроль над заболеванием.</w:t>
      </w:r>
    </w:p>
    <w:p w14:paraId="2F8010C6" w14:textId="10CBA3B3"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i/>
          <w:color w:val="auto"/>
          <w:sz w:val="24"/>
          <w:szCs w:val="24"/>
          <w:lang w:val="ru-RU" w:eastAsia="ru-RU"/>
        </w:rPr>
        <w:t>Взрослые и подростки от 16</w:t>
      </w:r>
      <w:r w:rsidR="00BB4FF6" w:rsidRPr="0037351D">
        <w:rPr>
          <w:rFonts w:ascii="Times New Roman" w:hAnsi="Times New Roman"/>
          <w:i/>
          <w:color w:val="auto"/>
          <w:sz w:val="24"/>
          <w:szCs w:val="24"/>
          <w:lang w:val="ru-RU" w:eastAsia="ru-RU"/>
        </w:rPr>
        <w:t> </w:t>
      </w:r>
      <w:r w:rsidRPr="0037351D">
        <w:rPr>
          <w:rFonts w:ascii="Times New Roman" w:hAnsi="Times New Roman"/>
          <w:i/>
          <w:color w:val="auto"/>
          <w:sz w:val="24"/>
          <w:szCs w:val="24"/>
          <w:lang w:val="ru-RU" w:eastAsia="ru-RU"/>
        </w:rPr>
        <w:t>лет:</w:t>
      </w:r>
      <w:r w:rsidRPr="0037351D">
        <w:rPr>
          <w:rFonts w:ascii="Times New Roman" w:hAnsi="Times New Roman"/>
          <w:color w:val="auto"/>
          <w:sz w:val="24"/>
          <w:szCs w:val="24"/>
          <w:lang w:val="ru-RU" w:eastAsia="ru-RU"/>
        </w:rPr>
        <w:t xml:space="preserve"> 0,5</w:t>
      </w:r>
      <w:r w:rsidR="001A105D" w:rsidRPr="0037351D">
        <w:rPr>
          <w:rFonts w:ascii="Times New Roman" w:hAnsi="Times New Roman"/>
          <w:color w:val="auto"/>
          <w:sz w:val="24"/>
          <w:szCs w:val="24"/>
          <w:lang w:val="ru-RU" w:eastAsia="ru-RU"/>
        </w:rPr>
        <w:t>–</w:t>
      </w:r>
      <w:r w:rsidRPr="0037351D">
        <w:rPr>
          <w:rFonts w:ascii="Times New Roman" w:hAnsi="Times New Roman"/>
          <w:color w:val="auto"/>
          <w:sz w:val="24"/>
          <w:szCs w:val="24"/>
          <w:lang w:val="ru-RU" w:eastAsia="ru-RU"/>
        </w:rPr>
        <w:t>2</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мг суспензии дважды в день.</w:t>
      </w:r>
    </w:p>
    <w:p w14:paraId="5F103C5E" w14:textId="7CECD4C3"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Фл</w:t>
      </w:r>
      <w:r w:rsidR="005B0715" w:rsidRPr="0037351D">
        <w:rPr>
          <w:rFonts w:ascii="Times New Roman" w:hAnsi="Times New Roman"/>
          <w:color w:val="auto"/>
          <w:sz w:val="24"/>
          <w:szCs w:val="24"/>
          <w:lang w:val="ru-RU" w:eastAsia="ru-RU"/>
        </w:rPr>
        <w:t>у</w:t>
      </w:r>
      <w:r w:rsidRPr="0037351D">
        <w:rPr>
          <w:rFonts w:ascii="Times New Roman" w:hAnsi="Times New Roman"/>
          <w:color w:val="auto"/>
          <w:sz w:val="24"/>
          <w:szCs w:val="24"/>
          <w:lang w:val="ru-RU" w:eastAsia="ru-RU"/>
        </w:rPr>
        <w:t>тиказона пропионат является эффективным в дозе, составляющей половину дозы других ингаляционных кортикостероидов. Например, 100</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мкг фл</w:t>
      </w:r>
      <w:r w:rsidR="005B0715" w:rsidRPr="0037351D">
        <w:rPr>
          <w:rFonts w:ascii="Times New Roman" w:hAnsi="Times New Roman"/>
          <w:color w:val="auto"/>
          <w:sz w:val="24"/>
          <w:szCs w:val="24"/>
          <w:lang w:val="ru-RU" w:eastAsia="ru-RU"/>
        </w:rPr>
        <w:t>у</w:t>
      </w:r>
      <w:r w:rsidRPr="0037351D">
        <w:rPr>
          <w:rFonts w:ascii="Times New Roman" w:hAnsi="Times New Roman"/>
          <w:color w:val="auto"/>
          <w:sz w:val="24"/>
          <w:szCs w:val="24"/>
          <w:lang w:val="ru-RU" w:eastAsia="ru-RU"/>
        </w:rPr>
        <w:t>тиказона пропионата примерно эквивалентно 200</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мкг дозы беклометазона дипропионата (содержащего фреон) или будесонида.</w:t>
      </w:r>
    </w:p>
    <w:p w14:paraId="0CE8C415" w14:textId="3ED844AE"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Всегда существует риск системных эффектов при применении высоких доз кортикостероидов (см. разделы «Особ</w:t>
      </w:r>
      <w:r w:rsidR="00BA2C25" w:rsidRPr="0037351D">
        <w:rPr>
          <w:rFonts w:ascii="Times New Roman" w:hAnsi="Times New Roman"/>
          <w:color w:val="auto"/>
          <w:sz w:val="24"/>
          <w:szCs w:val="24"/>
          <w:lang w:val="ru-RU" w:eastAsia="ru-RU"/>
        </w:rPr>
        <w:t>е</w:t>
      </w:r>
      <w:r w:rsidR="001C7E10" w:rsidRPr="0037351D">
        <w:rPr>
          <w:rFonts w:ascii="Times New Roman" w:hAnsi="Times New Roman"/>
          <w:color w:val="auto"/>
          <w:sz w:val="24"/>
          <w:szCs w:val="24"/>
          <w:lang w:val="ru-RU" w:eastAsia="ru-RU"/>
        </w:rPr>
        <w:t>нности</w:t>
      </w:r>
      <w:r w:rsidR="00BA2C25" w:rsidRPr="0037351D">
        <w:rPr>
          <w:rFonts w:ascii="Times New Roman" w:hAnsi="Times New Roman"/>
          <w:color w:val="auto"/>
          <w:sz w:val="24"/>
          <w:szCs w:val="24"/>
          <w:lang w:val="ru-RU" w:eastAsia="ru-RU"/>
        </w:rPr>
        <w:t xml:space="preserve"> </w:t>
      </w:r>
      <w:r w:rsidR="001C7E10" w:rsidRPr="0037351D">
        <w:rPr>
          <w:rFonts w:ascii="Times New Roman" w:hAnsi="Times New Roman"/>
          <w:color w:val="auto"/>
          <w:sz w:val="24"/>
          <w:szCs w:val="24"/>
          <w:lang w:val="ru-RU" w:eastAsia="ru-RU"/>
        </w:rPr>
        <w:t>примене</w:t>
      </w:r>
      <w:r w:rsidR="00BA2C25" w:rsidRPr="0037351D">
        <w:rPr>
          <w:rFonts w:ascii="Times New Roman" w:hAnsi="Times New Roman"/>
          <w:color w:val="auto"/>
          <w:sz w:val="24"/>
          <w:szCs w:val="24"/>
          <w:lang w:val="ru-RU" w:eastAsia="ru-RU"/>
        </w:rPr>
        <w:t>ния</w:t>
      </w:r>
      <w:r w:rsidRPr="0037351D">
        <w:rPr>
          <w:rFonts w:ascii="Times New Roman" w:hAnsi="Times New Roman"/>
          <w:color w:val="auto"/>
          <w:sz w:val="24"/>
          <w:szCs w:val="24"/>
          <w:lang w:val="ru-RU" w:eastAsia="ru-RU"/>
        </w:rPr>
        <w:t xml:space="preserve">» и «Побочные </w:t>
      </w:r>
      <w:r w:rsidR="00E858C0" w:rsidRPr="0037351D">
        <w:rPr>
          <w:rFonts w:ascii="Times New Roman" w:hAnsi="Times New Roman"/>
          <w:color w:val="auto"/>
          <w:sz w:val="24"/>
          <w:szCs w:val="24"/>
          <w:lang w:val="ru-RU" w:eastAsia="ru-RU"/>
        </w:rPr>
        <w:t>реакции</w:t>
      </w:r>
      <w:r w:rsidRPr="0037351D">
        <w:rPr>
          <w:rFonts w:ascii="Times New Roman" w:hAnsi="Times New Roman"/>
          <w:color w:val="auto"/>
          <w:sz w:val="24"/>
          <w:szCs w:val="24"/>
          <w:lang w:val="ru-RU" w:eastAsia="ru-RU"/>
        </w:rPr>
        <w:t>»).</w:t>
      </w:r>
    </w:p>
    <w:p w14:paraId="58B71C9D"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Начальная доза ингаляционного фл</w:t>
      </w:r>
      <w:r w:rsidR="005B0715" w:rsidRPr="0037351D">
        <w:rPr>
          <w:rFonts w:ascii="Times New Roman" w:hAnsi="Times New Roman"/>
          <w:color w:val="auto"/>
          <w:sz w:val="24"/>
          <w:szCs w:val="24"/>
          <w:lang w:val="ru-RU" w:eastAsia="ru-RU"/>
        </w:rPr>
        <w:t>у</w:t>
      </w:r>
      <w:r w:rsidRPr="0037351D">
        <w:rPr>
          <w:rFonts w:ascii="Times New Roman" w:hAnsi="Times New Roman"/>
          <w:color w:val="auto"/>
          <w:sz w:val="24"/>
          <w:szCs w:val="24"/>
          <w:lang w:val="ru-RU" w:eastAsia="ru-RU"/>
        </w:rPr>
        <w:t>тиказона пропионата должна соответствовать степени тяжести заболевания пациента.</w:t>
      </w:r>
    </w:p>
    <w:p w14:paraId="03D19BB7"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Дозировка должна быть уменьшена до минимальной эффективной дозы, которая позволяет установить эффективный контроль над заболеванием.</w:t>
      </w:r>
    </w:p>
    <w:p w14:paraId="1B4F6571" w14:textId="77FDF52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i/>
          <w:color w:val="auto"/>
          <w:sz w:val="24"/>
          <w:szCs w:val="24"/>
          <w:lang w:val="ru-RU" w:eastAsia="ru-RU"/>
        </w:rPr>
        <w:t xml:space="preserve">Дети и подростки </w:t>
      </w:r>
      <w:r w:rsidR="00B803B5" w:rsidRPr="0037351D">
        <w:rPr>
          <w:rFonts w:ascii="Times New Roman" w:hAnsi="Times New Roman"/>
          <w:i/>
          <w:color w:val="auto"/>
          <w:sz w:val="24"/>
          <w:szCs w:val="24"/>
          <w:lang w:val="ru-RU" w:eastAsia="ru-RU"/>
        </w:rPr>
        <w:t>4–16</w:t>
      </w:r>
      <w:r w:rsidR="00BB4FF6" w:rsidRPr="0037351D">
        <w:rPr>
          <w:rFonts w:ascii="Times New Roman" w:hAnsi="Times New Roman"/>
          <w:i/>
          <w:color w:val="auto"/>
          <w:sz w:val="24"/>
          <w:szCs w:val="24"/>
          <w:lang w:val="ru-RU" w:eastAsia="ru-RU"/>
        </w:rPr>
        <w:t> </w:t>
      </w:r>
      <w:r w:rsidRPr="0037351D">
        <w:rPr>
          <w:rFonts w:ascii="Times New Roman" w:hAnsi="Times New Roman"/>
          <w:i/>
          <w:color w:val="auto"/>
          <w:sz w:val="24"/>
          <w:szCs w:val="24"/>
          <w:lang w:val="ru-RU" w:eastAsia="ru-RU"/>
        </w:rPr>
        <w:t>лет:</w:t>
      </w:r>
      <w:r w:rsidRPr="0037351D">
        <w:rPr>
          <w:rFonts w:ascii="Times New Roman" w:hAnsi="Times New Roman"/>
          <w:color w:val="auto"/>
          <w:sz w:val="24"/>
          <w:szCs w:val="24"/>
          <w:lang w:val="ru-RU" w:eastAsia="ru-RU"/>
        </w:rPr>
        <w:t xml:space="preserve"> 1</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мг суспензии дважды в день.</w:t>
      </w:r>
    </w:p>
    <w:p w14:paraId="4FF36F19"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Дозировку следует уменьшить до минимальной эффективной дозы, которая позволяет установить эффективный контроль над заболеванием.</w:t>
      </w:r>
    </w:p>
    <w:p w14:paraId="48FA041F" w14:textId="77777777" w:rsidR="004F62B5" w:rsidRPr="0037351D" w:rsidRDefault="009D7D28" w:rsidP="00A3433A">
      <w:pPr>
        <w:pStyle w:val="Markers"/>
        <w:spacing w:after="0" w:line="240" w:lineRule="auto"/>
        <w:ind w:right="-1"/>
        <w:contextualSpacing/>
        <w:rPr>
          <w:rFonts w:ascii="Times New Roman" w:hAnsi="Times New Roman"/>
          <w:i/>
          <w:color w:val="auto"/>
          <w:sz w:val="24"/>
          <w:szCs w:val="24"/>
          <w:lang w:val="ru-RU" w:eastAsia="ru-RU"/>
        </w:rPr>
      </w:pPr>
      <w:r w:rsidRPr="0037351D">
        <w:rPr>
          <w:rFonts w:ascii="Times New Roman" w:hAnsi="Times New Roman"/>
          <w:i/>
          <w:color w:val="auto"/>
          <w:sz w:val="24"/>
          <w:szCs w:val="24"/>
          <w:lang w:val="ru-RU" w:eastAsia="ru-RU"/>
        </w:rPr>
        <w:t>Отдельные группы пациентов</w:t>
      </w:r>
      <w:r w:rsidR="00BA2C25" w:rsidRPr="0037351D">
        <w:rPr>
          <w:rFonts w:ascii="Times New Roman" w:hAnsi="Times New Roman"/>
          <w:i/>
          <w:color w:val="auto"/>
          <w:sz w:val="24"/>
          <w:szCs w:val="24"/>
          <w:lang w:val="ru-RU" w:eastAsia="ru-RU"/>
        </w:rPr>
        <w:t>.</w:t>
      </w:r>
    </w:p>
    <w:p w14:paraId="3A7D04A2"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Нет необходимости изменять дозу для пациентов пожилого возраста или при нарушении функции печени и почек.</w:t>
      </w:r>
    </w:p>
    <w:p w14:paraId="69279FDA" w14:textId="77777777" w:rsidR="004F62B5" w:rsidRPr="0037351D" w:rsidRDefault="004F62B5" w:rsidP="00A3433A">
      <w:pPr>
        <w:pStyle w:val="Markers"/>
        <w:spacing w:after="0" w:line="240" w:lineRule="auto"/>
        <w:ind w:right="-1"/>
        <w:contextualSpacing/>
        <w:rPr>
          <w:rFonts w:ascii="Times New Roman" w:hAnsi="Times New Roman"/>
          <w:i/>
          <w:color w:val="auto"/>
          <w:sz w:val="24"/>
          <w:szCs w:val="24"/>
          <w:lang w:val="ru-RU" w:eastAsia="ru-RU"/>
        </w:rPr>
      </w:pPr>
      <w:r w:rsidRPr="0037351D">
        <w:rPr>
          <w:rFonts w:ascii="Times New Roman" w:hAnsi="Times New Roman"/>
          <w:i/>
          <w:color w:val="auto"/>
          <w:sz w:val="24"/>
          <w:szCs w:val="24"/>
          <w:lang w:val="ru-RU" w:eastAsia="ru-RU"/>
        </w:rPr>
        <w:t>Перевод пациентов, лечившихся оральными кортикостероидами, на ингаляционное</w:t>
      </w:r>
      <w:r w:rsidR="009D7D28" w:rsidRPr="0037351D">
        <w:rPr>
          <w:rFonts w:ascii="Times New Roman" w:hAnsi="Times New Roman"/>
          <w:i/>
          <w:color w:val="auto"/>
          <w:sz w:val="24"/>
          <w:szCs w:val="24"/>
          <w:lang w:val="ru-RU" w:eastAsia="ru-RU"/>
        </w:rPr>
        <w:t xml:space="preserve"> применение</w:t>
      </w:r>
      <w:r w:rsidR="00BA2C25" w:rsidRPr="0037351D">
        <w:rPr>
          <w:rFonts w:ascii="Times New Roman" w:hAnsi="Times New Roman"/>
          <w:i/>
          <w:color w:val="auto"/>
          <w:sz w:val="24"/>
          <w:szCs w:val="24"/>
          <w:lang w:val="ru-RU" w:eastAsia="ru-RU"/>
        </w:rPr>
        <w:t>.</w:t>
      </w:r>
    </w:p>
    <w:p w14:paraId="302C68B4" w14:textId="09E71A49"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lastRenderedPageBreak/>
        <w:t>Постепенная отмена системных стероидов начинается примерно через неделю. Уменьшение доз должно соответствовать поддерживающему уровню системных стероидов, и происходить с интервалами не менее недели. В общем, для поддерживающей дозы преднизолона (или аналогов) 10</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мг в день или меньше, уменьшение дозы не должно быть больше 1</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мг в день с интервалами не менее недели. Для поддержки дозирования преднизолона, которое превышает 10</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мг в день, допускается уменьшение дозы более чем на 1</w:t>
      </w:r>
      <w:r w:rsidR="00BB4FF6" w:rsidRPr="0037351D">
        <w:rPr>
          <w:rFonts w:ascii="Times New Roman" w:hAnsi="Times New Roman"/>
          <w:color w:val="auto"/>
          <w:sz w:val="24"/>
          <w:szCs w:val="24"/>
          <w:lang w:val="ru-RU" w:eastAsia="ru-RU"/>
        </w:rPr>
        <w:t> </w:t>
      </w:r>
      <w:r w:rsidRPr="0037351D">
        <w:rPr>
          <w:rFonts w:ascii="Times New Roman" w:hAnsi="Times New Roman"/>
          <w:color w:val="auto"/>
          <w:sz w:val="24"/>
          <w:szCs w:val="24"/>
          <w:lang w:val="ru-RU" w:eastAsia="ru-RU"/>
        </w:rPr>
        <w:t>мг в день с интервалом не менее недели, с особой осторожностью.</w:t>
      </w:r>
    </w:p>
    <w:p w14:paraId="32B99A8E"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Полезным является назначение препарата через мундштук во избежание развития атрофических изменений кожи лица, которые могут встречаться при длительном использовании лицевой маски.</w:t>
      </w:r>
    </w:p>
    <w:p w14:paraId="156B1946"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При применении лицевой маски кожу, подвергающуюся действию препарата, нужно защищать с помощью защитного крема или тщательного умывания после использования.</w:t>
      </w:r>
    </w:p>
    <w:p w14:paraId="48B5442F" w14:textId="77777777" w:rsidR="004F62B5" w:rsidRPr="0037351D" w:rsidRDefault="004F62B5" w:rsidP="00A3433A">
      <w:pPr>
        <w:pStyle w:val="Markers"/>
        <w:spacing w:after="0" w:line="240" w:lineRule="auto"/>
        <w:ind w:right="-1"/>
        <w:contextualSpacing/>
        <w:rPr>
          <w:rFonts w:ascii="Times New Roman" w:hAnsi="Times New Roman"/>
          <w:i/>
          <w:color w:val="auto"/>
          <w:sz w:val="24"/>
          <w:szCs w:val="24"/>
          <w:lang w:val="ru-RU" w:eastAsia="ru-RU"/>
        </w:rPr>
      </w:pPr>
      <w:r w:rsidRPr="0037351D">
        <w:rPr>
          <w:rFonts w:ascii="Times New Roman" w:hAnsi="Times New Roman"/>
          <w:i/>
          <w:color w:val="auto"/>
          <w:sz w:val="24"/>
          <w:szCs w:val="24"/>
          <w:lang w:val="ru-RU" w:eastAsia="ru-RU"/>
        </w:rPr>
        <w:t>Инструкции по применению Небуфлюзона</w:t>
      </w:r>
    </w:p>
    <w:p w14:paraId="6D0589ED"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Ознакомиться с инструкцией производителя небулайзера.</w:t>
      </w:r>
    </w:p>
    <w:p w14:paraId="0889348C"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Перед применением необходимо убедиться, что содержимое контейнера хорошо перемешано. Держа контейнер горизонтально за край, на котором находится маркировка, с другого края несколько раз встряхнуть. Повторить этот процесс несколько раз до полного перемешивания содержимого. Чтобы открыть контейнер, следует повернуть колпачок, находящийся на его верхушке.</w:t>
      </w:r>
    </w:p>
    <w:p w14:paraId="12B1A49F" w14:textId="77777777" w:rsidR="004F62B5" w:rsidRPr="0037351D" w:rsidRDefault="004F62B5" w:rsidP="00A3433A">
      <w:pPr>
        <w:pStyle w:val="Markers"/>
        <w:spacing w:after="0" w:line="240" w:lineRule="auto"/>
        <w:ind w:right="-1"/>
        <w:contextualSpacing/>
        <w:rPr>
          <w:rFonts w:ascii="Times New Roman" w:hAnsi="Times New Roman"/>
          <w:color w:val="auto"/>
          <w:sz w:val="24"/>
          <w:szCs w:val="24"/>
          <w:lang w:val="ru-RU" w:eastAsia="ru-RU"/>
        </w:rPr>
      </w:pPr>
      <w:r w:rsidRPr="0037351D">
        <w:rPr>
          <w:rFonts w:ascii="Times New Roman" w:hAnsi="Times New Roman"/>
          <w:color w:val="auto"/>
          <w:sz w:val="24"/>
          <w:szCs w:val="24"/>
          <w:lang w:val="ru-RU" w:eastAsia="ru-RU"/>
        </w:rPr>
        <w:t>В случае необходимости препарат можно разводить раствором натрия хлорида. Неиспользованный раствор из емкости небулайзера нельзя использовать повторно. Его следует уничтожить.</w:t>
      </w:r>
    </w:p>
    <w:p w14:paraId="44051F5C" w14:textId="77777777" w:rsidR="001A105D" w:rsidRPr="0037351D" w:rsidRDefault="001A105D" w:rsidP="00A3433A">
      <w:pPr>
        <w:pStyle w:val="Markers"/>
        <w:spacing w:after="0" w:line="240" w:lineRule="auto"/>
        <w:ind w:right="-1"/>
        <w:contextualSpacing/>
        <w:rPr>
          <w:rFonts w:ascii="Times New Roman" w:hAnsi="Times New Roman"/>
          <w:b/>
          <w:color w:val="auto"/>
          <w:sz w:val="24"/>
          <w:szCs w:val="24"/>
          <w:lang w:val="ru-RU"/>
        </w:rPr>
      </w:pPr>
    </w:p>
    <w:p w14:paraId="1390DDB9" w14:textId="11585B46" w:rsidR="001A105D" w:rsidRPr="0037351D" w:rsidRDefault="001A105D" w:rsidP="00A3433A">
      <w:pPr>
        <w:pStyle w:val="Markers"/>
        <w:spacing w:after="0" w:line="240" w:lineRule="auto"/>
        <w:ind w:right="-1"/>
        <w:contextualSpacing/>
        <w:rPr>
          <w:rFonts w:ascii="Times New Roman" w:hAnsi="Times New Roman"/>
          <w:bCs/>
          <w:i/>
          <w:color w:val="auto"/>
          <w:sz w:val="24"/>
          <w:szCs w:val="24"/>
          <w:lang w:val="ru-RU"/>
        </w:rPr>
      </w:pPr>
      <w:r w:rsidRPr="0037351D">
        <w:rPr>
          <w:rFonts w:ascii="Times New Roman" w:hAnsi="Times New Roman"/>
          <w:bCs/>
          <w:i/>
          <w:color w:val="auto"/>
          <w:sz w:val="24"/>
          <w:szCs w:val="24"/>
          <w:lang w:val="ru-RU"/>
        </w:rPr>
        <w:t>Дети</w:t>
      </w:r>
    </w:p>
    <w:p w14:paraId="3796B8C1" w14:textId="3D730266" w:rsidR="001A105D" w:rsidRPr="0037351D" w:rsidRDefault="001A105D" w:rsidP="00A3433A">
      <w:pPr>
        <w:ind w:right="-1"/>
        <w:contextualSpacing/>
        <w:jc w:val="both"/>
        <w:rPr>
          <w:szCs w:val="24"/>
          <w:lang w:val="ru-RU" w:eastAsia="ru-RU"/>
        </w:rPr>
      </w:pPr>
      <w:r w:rsidRPr="0037351D">
        <w:rPr>
          <w:szCs w:val="24"/>
          <w:lang w:val="ru-RU" w:eastAsia="ru-RU"/>
        </w:rPr>
        <w:t>Применяют детям в возрасте от 4</w:t>
      </w:r>
      <w:r w:rsidR="00BB4FF6" w:rsidRPr="0037351D">
        <w:rPr>
          <w:szCs w:val="24"/>
          <w:lang w:val="ru-RU" w:eastAsia="ru-RU"/>
        </w:rPr>
        <w:t> </w:t>
      </w:r>
      <w:r w:rsidRPr="0037351D">
        <w:rPr>
          <w:szCs w:val="24"/>
          <w:lang w:val="ru-RU" w:eastAsia="ru-RU"/>
        </w:rPr>
        <w:t>лет.</w:t>
      </w:r>
    </w:p>
    <w:p w14:paraId="2C3AA6F2" w14:textId="77777777" w:rsidR="001A105D" w:rsidRPr="0037351D" w:rsidRDefault="001A105D" w:rsidP="00A3433A">
      <w:pPr>
        <w:pStyle w:val="Markers"/>
        <w:spacing w:after="0" w:line="240" w:lineRule="auto"/>
        <w:ind w:right="-1"/>
        <w:contextualSpacing/>
        <w:rPr>
          <w:rFonts w:ascii="Times New Roman" w:hAnsi="Times New Roman"/>
          <w:b/>
          <w:color w:val="auto"/>
          <w:sz w:val="24"/>
          <w:szCs w:val="24"/>
          <w:lang w:val="ru-RU"/>
        </w:rPr>
      </w:pPr>
    </w:p>
    <w:p w14:paraId="61235BCB" w14:textId="77777777" w:rsidR="0089744F" w:rsidRPr="0037351D" w:rsidRDefault="0089744F" w:rsidP="00A3433A">
      <w:pPr>
        <w:pStyle w:val="Markers"/>
        <w:spacing w:after="0" w:line="240" w:lineRule="auto"/>
        <w:ind w:right="-1"/>
        <w:contextualSpacing/>
        <w:rPr>
          <w:rFonts w:ascii="Times New Roman" w:hAnsi="Times New Roman"/>
          <w:color w:val="auto"/>
          <w:sz w:val="24"/>
          <w:szCs w:val="24"/>
          <w:lang w:val="ru-RU"/>
        </w:rPr>
      </w:pPr>
      <w:r w:rsidRPr="0037351D">
        <w:rPr>
          <w:rFonts w:ascii="Times New Roman" w:hAnsi="Times New Roman"/>
          <w:b/>
          <w:color w:val="auto"/>
          <w:sz w:val="24"/>
          <w:szCs w:val="24"/>
          <w:lang w:val="ru-RU"/>
        </w:rPr>
        <w:t>Передозировка</w:t>
      </w:r>
    </w:p>
    <w:p w14:paraId="24855855" w14:textId="77777777" w:rsidR="0089744F" w:rsidRPr="0037351D" w:rsidRDefault="0089744F" w:rsidP="00A3433A">
      <w:pPr>
        <w:ind w:right="-1"/>
        <w:contextualSpacing/>
        <w:jc w:val="both"/>
        <w:rPr>
          <w:szCs w:val="24"/>
          <w:lang w:val="ru-RU"/>
        </w:rPr>
      </w:pPr>
      <w:r w:rsidRPr="0037351D">
        <w:rPr>
          <w:szCs w:val="24"/>
          <w:lang w:val="ru-RU"/>
        </w:rPr>
        <w:t>При применении Небуфлюзона в дозах, превышающих рекомендуемые, может возникнуть острая передозировка, что проявляется во временном угнетении функции надпочечников. Это не требует неотложной помощи, поскольку функция коры надпочечников восстанавливается через несколько дней, что подтверждается измерением уровня кортизола в плазме крови.</w:t>
      </w:r>
    </w:p>
    <w:p w14:paraId="2A9A89B3" w14:textId="2EFCB0A8" w:rsidR="0089744F" w:rsidRPr="0037351D" w:rsidRDefault="0089744F" w:rsidP="00A3433A">
      <w:pPr>
        <w:ind w:right="-1"/>
        <w:contextualSpacing/>
        <w:jc w:val="both"/>
        <w:rPr>
          <w:szCs w:val="24"/>
          <w:lang w:val="ru-RU"/>
        </w:rPr>
      </w:pPr>
      <w:r w:rsidRPr="0037351D">
        <w:rPr>
          <w:szCs w:val="24"/>
          <w:lang w:val="ru-RU"/>
        </w:rPr>
        <w:t>Однако при применении доз, превышающих рекомендуемые, в течение длительного времени может наблюдаться некоторое угнетение функции надпочечников, поэтому может возникнуть необходимость проверя</w:t>
      </w:r>
      <w:r w:rsidR="009A3C92" w:rsidRPr="0037351D">
        <w:rPr>
          <w:szCs w:val="24"/>
          <w:lang w:val="ru-RU"/>
        </w:rPr>
        <w:t>ть резерв функции надпочечников (см. раздел «</w:t>
      </w:r>
      <w:r w:rsidR="001C7E10" w:rsidRPr="0037351D">
        <w:rPr>
          <w:szCs w:val="24"/>
          <w:lang w:val="ru-RU" w:eastAsia="ru-RU"/>
        </w:rPr>
        <w:t>Особенности применения</w:t>
      </w:r>
      <w:r w:rsidR="009A3C92" w:rsidRPr="0037351D">
        <w:rPr>
          <w:szCs w:val="24"/>
          <w:lang w:val="ru-RU"/>
        </w:rPr>
        <w:t>»).</w:t>
      </w:r>
    </w:p>
    <w:p w14:paraId="05A1632F" w14:textId="77777777" w:rsidR="009A3C92" w:rsidRPr="0037351D" w:rsidRDefault="0089744F" w:rsidP="00A3433A">
      <w:pPr>
        <w:ind w:right="-1"/>
        <w:contextualSpacing/>
        <w:jc w:val="both"/>
        <w:rPr>
          <w:szCs w:val="24"/>
          <w:lang w:val="ru-RU"/>
        </w:rPr>
      </w:pPr>
      <w:r w:rsidRPr="0037351D">
        <w:rPr>
          <w:szCs w:val="24"/>
          <w:lang w:val="ru-RU"/>
        </w:rPr>
        <w:t>В случае передозировки терапия может быть продолжена в дозах, необходимых для контроля симптомов астмы. Пациенты, которые лечатся дозами выше, чем рекомендуемые, должны быть под особым наблюдением врача, а дозу препарата для них следует снижать постепенно (см. раздел «</w:t>
      </w:r>
      <w:r w:rsidR="00BD2F2D" w:rsidRPr="0037351D">
        <w:rPr>
          <w:szCs w:val="24"/>
          <w:lang w:val="ru-RU"/>
        </w:rPr>
        <w:t>Способ применения и дозы</w:t>
      </w:r>
      <w:r w:rsidRPr="0037351D">
        <w:rPr>
          <w:szCs w:val="24"/>
          <w:lang w:val="ru-RU"/>
        </w:rPr>
        <w:t>»).</w:t>
      </w:r>
    </w:p>
    <w:p w14:paraId="1B66BCAC" w14:textId="77777777" w:rsidR="00101B1E" w:rsidRPr="0037351D" w:rsidRDefault="00101B1E" w:rsidP="00A3433A">
      <w:pPr>
        <w:ind w:right="-1"/>
        <w:contextualSpacing/>
        <w:jc w:val="both"/>
        <w:rPr>
          <w:b/>
          <w:szCs w:val="24"/>
          <w:lang w:val="ru-RU"/>
        </w:rPr>
      </w:pPr>
    </w:p>
    <w:p w14:paraId="4F60C79C" w14:textId="2F75E036" w:rsidR="004F62B5" w:rsidRPr="0037351D" w:rsidRDefault="008C61A2" w:rsidP="00A3433A">
      <w:pPr>
        <w:ind w:right="-1"/>
        <w:contextualSpacing/>
        <w:jc w:val="both"/>
        <w:rPr>
          <w:szCs w:val="24"/>
          <w:lang w:val="ru-RU"/>
        </w:rPr>
      </w:pPr>
      <w:r w:rsidRPr="0037351D">
        <w:rPr>
          <w:b/>
          <w:szCs w:val="24"/>
          <w:lang w:val="ru-RU"/>
        </w:rPr>
        <w:t xml:space="preserve">Побочные </w:t>
      </w:r>
      <w:r w:rsidR="00E858C0" w:rsidRPr="0037351D">
        <w:rPr>
          <w:b/>
          <w:szCs w:val="24"/>
          <w:lang w:val="ru-RU"/>
        </w:rPr>
        <w:t>реакции</w:t>
      </w:r>
    </w:p>
    <w:p w14:paraId="4ED67D31" w14:textId="0E9F7286" w:rsidR="004F62B5" w:rsidRPr="0037351D" w:rsidRDefault="004F62B5" w:rsidP="00A3433A">
      <w:pPr>
        <w:ind w:right="-1"/>
        <w:contextualSpacing/>
        <w:jc w:val="both"/>
        <w:rPr>
          <w:szCs w:val="24"/>
          <w:lang w:val="ru-RU" w:eastAsia="ru-RU"/>
        </w:rPr>
      </w:pPr>
      <w:r w:rsidRPr="0037351D">
        <w:rPr>
          <w:szCs w:val="24"/>
          <w:lang w:val="ru-RU" w:eastAsia="ru-RU"/>
        </w:rPr>
        <w:t>Приведенные ниже побочные реакции систематизированы по органам и системам и по частоте возникновения: очень часто (</w:t>
      </w:r>
      <w:r w:rsidRPr="0037351D">
        <w:rPr>
          <w:szCs w:val="24"/>
          <w:lang w:val="ru-RU" w:eastAsia="ru-RU"/>
        </w:rPr>
        <w:sym w:font="Symbol" w:char="F0B3"/>
      </w:r>
      <w:r w:rsidR="00BA2C25" w:rsidRPr="0037351D">
        <w:rPr>
          <w:szCs w:val="24"/>
          <w:lang w:val="ru-RU" w:eastAsia="ru-RU"/>
        </w:rPr>
        <w:t xml:space="preserve"> </w:t>
      </w:r>
      <w:r w:rsidRPr="0037351D">
        <w:rPr>
          <w:szCs w:val="24"/>
          <w:lang w:val="ru-RU" w:eastAsia="ru-RU"/>
        </w:rPr>
        <w:t>1/10), часто (</w:t>
      </w:r>
      <w:r w:rsidRPr="0037351D">
        <w:rPr>
          <w:szCs w:val="24"/>
          <w:lang w:val="ru-RU" w:eastAsia="ru-RU"/>
        </w:rPr>
        <w:sym w:font="Symbol" w:char="F0B3"/>
      </w:r>
      <w:r w:rsidR="00BA2C25" w:rsidRPr="0037351D">
        <w:rPr>
          <w:szCs w:val="24"/>
          <w:lang w:val="ru-RU" w:eastAsia="ru-RU"/>
        </w:rPr>
        <w:t xml:space="preserve"> </w:t>
      </w:r>
      <w:r w:rsidRPr="0037351D">
        <w:rPr>
          <w:szCs w:val="24"/>
          <w:lang w:val="ru-RU" w:eastAsia="ru-RU"/>
        </w:rPr>
        <w:t xml:space="preserve">1/100 и </w:t>
      </w:r>
      <w:r w:rsidRPr="0037351D">
        <w:rPr>
          <w:szCs w:val="24"/>
          <w:lang w:val="ru-RU" w:eastAsia="ru-RU"/>
        </w:rPr>
        <w:sym w:font="Symbol" w:char="F03C"/>
      </w:r>
      <w:r w:rsidRPr="0037351D">
        <w:rPr>
          <w:szCs w:val="24"/>
          <w:lang w:val="ru-RU" w:eastAsia="ru-RU"/>
        </w:rPr>
        <w:t xml:space="preserve"> 1/10), нечасто (</w:t>
      </w:r>
      <w:r w:rsidRPr="0037351D">
        <w:rPr>
          <w:szCs w:val="24"/>
          <w:lang w:val="ru-RU" w:eastAsia="ru-RU"/>
        </w:rPr>
        <w:sym w:font="Symbol" w:char="F0B3"/>
      </w:r>
      <w:r w:rsidR="00BA2C25" w:rsidRPr="0037351D">
        <w:rPr>
          <w:szCs w:val="24"/>
          <w:lang w:val="ru-RU" w:eastAsia="ru-RU"/>
        </w:rPr>
        <w:t xml:space="preserve"> </w:t>
      </w:r>
      <w:r w:rsidRPr="0037351D">
        <w:rPr>
          <w:szCs w:val="24"/>
          <w:lang w:val="ru-RU" w:eastAsia="ru-RU"/>
        </w:rPr>
        <w:t xml:space="preserve">1/1000 и </w:t>
      </w:r>
      <w:r w:rsidR="005B0715" w:rsidRPr="0037351D">
        <w:rPr>
          <w:szCs w:val="24"/>
          <w:lang w:val="ru-RU" w:eastAsia="ru-RU"/>
        </w:rPr>
        <w:br/>
      </w:r>
      <w:r w:rsidRPr="0037351D">
        <w:rPr>
          <w:szCs w:val="24"/>
          <w:lang w:val="ru-RU" w:eastAsia="ru-RU"/>
        </w:rPr>
        <w:sym w:font="Symbol" w:char="F03C"/>
      </w:r>
      <w:r w:rsidRPr="0037351D">
        <w:rPr>
          <w:szCs w:val="24"/>
          <w:lang w:val="ru-RU" w:eastAsia="ru-RU"/>
        </w:rPr>
        <w:t xml:space="preserve"> 1/100), редко (</w:t>
      </w:r>
      <w:r w:rsidRPr="0037351D">
        <w:rPr>
          <w:szCs w:val="24"/>
          <w:lang w:val="ru-RU" w:eastAsia="ru-RU"/>
        </w:rPr>
        <w:sym w:font="Symbol" w:char="F0B3"/>
      </w:r>
      <w:r w:rsidR="00BA2C25" w:rsidRPr="0037351D">
        <w:rPr>
          <w:szCs w:val="24"/>
          <w:lang w:val="ru-RU" w:eastAsia="ru-RU"/>
        </w:rPr>
        <w:t xml:space="preserve"> </w:t>
      </w:r>
      <w:r w:rsidR="00005EA1" w:rsidRPr="0037351D">
        <w:rPr>
          <w:szCs w:val="24"/>
          <w:lang w:val="ru-RU" w:eastAsia="ru-RU"/>
        </w:rPr>
        <w:t>1/10</w:t>
      </w:r>
      <w:r w:rsidRPr="0037351D">
        <w:rPr>
          <w:szCs w:val="24"/>
          <w:lang w:val="ru-RU" w:eastAsia="ru-RU"/>
        </w:rPr>
        <w:t xml:space="preserve">000 и </w:t>
      </w:r>
      <w:r w:rsidRPr="0037351D">
        <w:rPr>
          <w:szCs w:val="24"/>
          <w:lang w:val="ru-RU" w:eastAsia="ru-RU"/>
        </w:rPr>
        <w:sym w:font="Symbol" w:char="F03C"/>
      </w:r>
      <w:r w:rsidR="00B850C6" w:rsidRPr="0037351D">
        <w:rPr>
          <w:szCs w:val="24"/>
          <w:lang w:val="ru-RU" w:eastAsia="ru-RU"/>
        </w:rPr>
        <w:t xml:space="preserve"> 1/1000),</w:t>
      </w:r>
      <w:r w:rsidRPr="0037351D">
        <w:rPr>
          <w:szCs w:val="24"/>
          <w:lang w:val="ru-RU" w:eastAsia="ru-RU"/>
        </w:rPr>
        <w:t xml:space="preserve"> очень редко (</w:t>
      </w:r>
      <w:r w:rsidRPr="0037351D">
        <w:rPr>
          <w:szCs w:val="24"/>
          <w:lang w:val="ru-RU" w:eastAsia="ru-RU"/>
        </w:rPr>
        <w:sym w:font="Symbol" w:char="F03C"/>
      </w:r>
      <w:r w:rsidR="00BA2C25" w:rsidRPr="0037351D">
        <w:rPr>
          <w:szCs w:val="24"/>
          <w:lang w:val="ru-RU" w:eastAsia="ru-RU"/>
        </w:rPr>
        <w:t xml:space="preserve"> </w:t>
      </w:r>
      <w:r w:rsidR="00B850C6" w:rsidRPr="0037351D">
        <w:rPr>
          <w:szCs w:val="24"/>
          <w:lang w:val="ru-RU" w:eastAsia="ru-RU"/>
        </w:rPr>
        <w:t>1/10 000)</w:t>
      </w:r>
      <w:r w:rsidR="00005EA1" w:rsidRPr="0037351D">
        <w:rPr>
          <w:szCs w:val="24"/>
          <w:lang w:val="ru-RU" w:eastAsia="ru-RU"/>
        </w:rPr>
        <w:t>, включая отдельные сообщения</w:t>
      </w:r>
      <w:r w:rsidR="00B850C6" w:rsidRPr="0037351D">
        <w:rPr>
          <w:szCs w:val="24"/>
          <w:lang w:val="ru-RU" w:eastAsia="ru-RU"/>
        </w:rPr>
        <w:t xml:space="preserve"> и частота неизвестна</w:t>
      </w:r>
      <w:r w:rsidRPr="0037351D">
        <w:rPr>
          <w:szCs w:val="24"/>
          <w:lang w:val="ru-RU" w:eastAsia="ru-RU"/>
        </w:rPr>
        <w:t xml:space="preserve"> </w:t>
      </w:r>
      <w:r w:rsidR="00B850C6" w:rsidRPr="0037351D">
        <w:rPr>
          <w:szCs w:val="24"/>
          <w:lang w:val="ru-RU" w:eastAsia="ru-RU"/>
        </w:rPr>
        <w:t>(по имеющимся данным</w:t>
      </w:r>
      <w:r w:rsidR="00005EA1" w:rsidRPr="0037351D">
        <w:rPr>
          <w:szCs w:val="24"/>
          <w:lang w:val="ru-RU" w:eastAsia="ru-RU"/>
        </w:rPr>
        <w:t xml:space="preserve"> установить частоту невозможно)</w:t>
      </w:r>
      <w:r w:rsidRPr="0037351D">
        <w:rPr>
          <w:szCs w:val="24"/>
          <w:lang w:val="ru-RU" w:eastAsia="ru-RU"/>
        </w:rPr>
        <w:t>. Данные о побочных действиях, возникающих очень часто, часто и нечасто, главным образом базируются на клинических исследованиях. Данные о побочных действиях, возникающих редко и очень редко, получают главным образом спонтанно.</w:t>
      </w:r>
    </w:p>
    <w:p w14:paraId="158DB29F" w14:textId="77777777" w:rsidR="004F62B5" w:rsidRPr="0037351D" w:rsidRDefault="004F62B5" w:rsidP="00A3433A">
      <w:pPr>
        <w:ind w:right="-1"/>
        <w:contextualSpacing/>
        <w:jc w:val="both"/>
        <w:rPr>
          <w:i/>
          <w:szCs w:val="24"/>
          <w:lang w:val="ru-RU" w:eastAsia="ru-RU"/>
        </w:rPr>
      </w:pPr>
      <w:r w:rsidRPr="0037351D">
        <w:rPr>
          <w:i/>
          <w:szCs w:val="24"/>
          <w:lang w:val="ru-RU" w:eastAsia="ru-RU"/>
        </w:rPr>
        <w:t>Инфекции и инвазии</w:t>
      </w:r>
    </w:p>
    <w:p w14:paraId="780A2DDD" w14:textId="77777777" w:rsidR="00EF443F" w:rsidRPr="0037351D" w:rsidRDefault="004F62B5" w:rsidP="00A3433A">
      <w:pPr>
        <w:ind w:right="-1"/>
        <w:contextualSpacing/>
        <w:jc w:val="both"/>
        <w:rPr>
          <w:szCs w:val="24"/>
          <w:lang w:val="ru-RU" w:eastAsia="ru-RU"/>
        </w:rPr>
      </w:pPr>
      <w:r w:rsidRPr="0037351D">
        <w:rPr>
          <w:szCs w:val="24"/>
          <w:lang w:val="ru-RU" w:eastAsia="ru-RU"/>
        </w:rPr>
        <w:t>Очень часто: кандидоз полости рта и глотки.</w:t>
      </w:r>
    </w:p>
    <w:p w14:paraId="66C297B3" w14:textId="77777777" w:rsidR="001E19F8" w:rsidRPr="0037351D" w:rsidRDefault="00EF443F" w:rsidP="00A3433A">
      <w:pPr>
        <w:ind w:right="-1"/>
        <w:jc w:val="both"/>
        <w:rPr>
          <w:szCs w:val="24"/>
          <w:lang w:val="ru-RU" w:eastAsia="ru-RU"/>
        </w:rPr>
      </w:pPr>
      <w:r w:rsidRPr="0037351D">
        <w:rPr>
          <w:szCs w:val="24"/>
          <w:lang w:val="ru-RU" w:eastAsia="ru-RU"/>
        </w:rPr>
        <w:t>У некоторых пациентов возможно развитие кандидоза полости рта и глотки (молочницы).</w:t>
      </w:r>
    </w:p>
    <w:p w14:paraId="01B7A08B" w14:textId="549CCBE1" w:rsidR="004F62B5" w:rsidRPr="0037351D" w:rsidRDefault="004F62B5" w:rsidP="00A3433A">
      <w:pPr>
        <w:ind w:right="-1"/>
        <w:jc w:val="both"/>
        <w:rPr>
          <w:szCs w:val="24"/>
          <w:lang w:val="ru-RU" w:eastAsia="ru-RU"/>
        </w:rPr>
      </w:pPr>
      <w:r w:rsidRPr="0037351D">
        <w:rPr>
          <w:szCs w:val="24"/>
          <w:lang w:val="ru-RU" w:eastAsia="ru-RU"/>
        </w:rPr>
        <w:lastRenderedPageBreak/>
        <w:t>С</w:t>
      </w:r>
      <w:r w:rsidR="003A66FB" w:rsidRPr="0037351D">
        <w:rPr>
          <w:szCs w:val="24"/>
          <w:lang w:val="ru-RU" w:eastAsia="ru-RU"/>
        </w:rPr>
        <w:t xml:space="preserve"> </w:t>
      </w:r>
      <w:r w:rsidRPr="0037351D">
        <w:rPr>
          <w:szCs w:val="24"/>
          <w:lang w:val="ru-RU" w:eastAsia="ru-RU"/>
        </w:rPr>
        <w:t>целью предотвращения этого явления после применения Небуфлюзона в виде ингаляции</w:t>
      </w:r>
      <w:r w:rsidR="00E858C0" w:rsidRPr="0037351D">
        <w:rPr>
          <w:szCs w:val="24"/>
          <w:lang w:val="ru-RU" w:eastAsia="ru-RU"/>
        </w:rPr>
        <w:t xml:space="preserve"> </w:t>
      </w:r>
      <w:r w:rsidRPr="0037351D">
        <w:rPr>
          <w:szCs w:val="24"/>
          <w:lang w:val="ru-RU" w:eastAsia="ru-RU"/>
        </w:rPr>
        <w:t>через небулайзер следует полоскать полость рта. В случае необходимости в течение всего периода лечения назначают противогрибковый препарат местного действия, продолжая при этом применение Небуфлюзона.</w:t>
      </w:r>
    </w:p>
    <w:p w14:paraId="7C969AC8" w14:textId="77777777" w:rsidR="004F62B5" w:rsidRPr="0037351D" w:rsidRDefault="004F62B5" w:rsidP="00A3433A">
      <w:pPr>
        <w:ind w:right="-1"/>
        <w:contextualSpacing/>
        <w:jc w:val="both"/>
        <w:rPr>
          <w:szCs w:val="24"/>
          <w:lang w:val="ru-RU" w:eastAsia="ru-RU"/>
        </w:rPr>
      </w:pPr>
      <w:r w:rsidRPr="0037351D">
        <w:rPr>
          <w:szCs w:val="24"/>
          <w:lang w:val="ru-RU" w:eastAsia="ru-RU"/>
        </w:rPr>
        <w:t>Часто: у пациентов с ХОБЛ возможно развитие пневмонии.</w:t>
      </w:r>
    </w:p>
    <w:p w14:paraId="38BCE3E5" w14:textId="77777777" w:rsidR="004F62B5" w:rsidRPr="0037351D" w:rsidRDefault="004F62B5" w:rsidP="00A3433A">
      <w:pPr>
        <w:ind w:right="-1"/>
        <w:contextualSpacing/>
        <w:jc w:val="both"/>
        <w:rPr>
          <w:szCs w:val="24"/>
          <w:lang w:val="ru-RU" w:eastAsia="ru-RU"/>
        </w:rPr>
      </w:pPr>
      <w:r w:rsidRPr="0037351D">
        <w:rPr>
          <w:szCs w:val="24"/>
          <w:lang w:val="ru-RU" w:eastAsia="ru-RU"/>
        </w:rPr>
        <w:t>В клинических исследованиях пациентов с ХОБЛ, получавших фл</w:t>
      </w:r>
      <w:r w:rsidR="005B0715" w:rsidRPr="0037351D">
        <w:rPr>
          <w:szCs w:val="24"/>
          <w:lang w:val="ru-RU" w:eastAsia="ru-RU"/>
        </w:rPr>
        <w:t>у</w:t>
      </w:r>
      <w:r w:rsidRPr="0037351D">
        <w:rPr>
          <w:szCs w:val="24"/>
          <w:lang w:val="ru-RU" w:eastAsia="ru-RU"/>
        </w:rPr>
        <w:t xml:space="preserve">тиказона пропионат в дозе 500 мкг, сообщалось об увеличении заболеваемости пневмонией. Врачи должны быть внимательны относительно возможного развития пневмонии у </w:t>
      </w:r>
      <w:r w:rsidR="009D7D28" w:rsidRPr="0037351D">
        <w:rPr>
          <w:szCs w:val="24"/>
          <w:lang w:val="ru-RU" w:eastAsia="ru-RU"/>
        </w:rPr>
        <w:t>пациентов с</w:t>
      </w:r>
      <w:r w:rsidRPr="0037351D">
        <w:rPr>
          <w:szCs w:val="24"/>
          <w:lang w:val="ru-RU" w:eastAsia="ru-RU"/>
        </w:rPr>
        <w:t xml:space="preserve"> ХОБЛ, поскольку клинические симптомы пневмонии и обострения ХОБЛ часто совпадают.</w:t>
      </w:r>
    </w:p>
    <w:p w14:paraId="417F8EB3" w14:textId="77777777" w:rsidR="004F62B5" w:rsidRPr="0037351D" w:rsidRDefault="004F62B5" w:rsidP="00A3433A">
      <w:pPr>
        <w:ind w:right="-1"/>
        <w:contextualSpacing/>
        <w:jc w:val="both"/>
        <w:rPr>
          <w:szCs w:val="24"/>
          <w:lang w:val="ru-RU" w:eastAsia="ru-RU"/>
        </w:rPr>
      </w:pPr>
      <w:r w:rsidRPr="0037351D">
        <w:rPr>
          <w:szCs w:val="24"/>
          <w:lang w:val="ru-RU" w:eastAsia="ru-RU"/>
        </w:rPr>
        <w:t>Редко: эзофагеальный кандидоз.</w:t>
      </w:r>
    </w:p>
    <w:p w14:paraId="55923FF1" w14:textId="77777777" w:rsidR="004F62B5" w:rsidRPr="0037351D" w:rsidRDefault="004B39AB" w:rsidP="00A3433A">
      <w:pPr>
        <w:ind w:right="-1"/>
        <w:contextualSpacing/>
        <w:jc w:val="both"/>
        <w:rPr>
          <w:i/>
          <w:szCs w:val="24"/>
          <w:lang w:val="ru-RU" w:eastAsia="ru-RU"/>
        </w:rPr>
      </w:pPr>
      <w:r w:rsidRPr="0037351D">
        <w:rPr>
          <w:i/>
          <w:szCs w:val="24"/>
          <w:lang w:val="ru-RU" w:eastAsia="ru-RU"/>
        </w:rPr>
        <w:t>Нарушения со стороны и</w:t>
      </w:r>
      <w:r w:rsidR="004F62B5" w:rsidRPr="0037351D">
        <w:rPr>
          <w:i/>
          <w:szCs w:val="24"/>
          <w:lang w:val="ru-RU" w:eastAsia="ru-RU"/>
        </w:rPr>
        <w:t>ммунн</w:t>
      </w:r>
      <w:r w:rsidRPr="0037351D">
        <w:rPr>
          <w:i/>
          <w:szCs w:val="24"/>
          <w:lang w:val="ru-RU" w:eastAsia="ru-RU"/>
        </w:rPr>
        <w:t>ой</w:t>
      </w:r>
      <w:r w:rsidR="004F62B5" w:rsidRPr="0037351D">
        <w:rPr>
          <w:i/>
          <w:szCs w:val="24"/>
          <w:lang w:val="ru-RU" w:eastAsia="ru-RU"/>
        </w:rPr>
        <w:t xml:space="preserve"> систем</w:t>
      </w:r>
      <w:r w:rsidRPr="0037351D">
        <w:rPr>
          <w:i/>
          <w:szCs w:val="24"/>
          <w:lang w:val="ru-RU" w:eastAsia="ru-RU"/>
        </w:rPr>
        <w:t>ы</w:t>
      </w:r>
    </w:p>
    <w:p w14:paraId="66ABF55D" w14:textId="77777777" w:rsidR="004F62B5" w:rsidRPr="0037351D" w:rsidRDefault="004F62B5" w:rsidP="00A3433A">
      <w:pPr>
        <w:ind w:right="-1"/>
        <w:contextualSpacing/>
        <w:jc w:val="both"/>
        <w:rPr>
          <w:szCs w:val="24"/>
          <w:lang w:val="ru-RU" w:eastAsia="ru-RU"/>
        </w:rPr>
      </w:pPr>
      <w:r w:rsidRPr="0037351D">
        <w:rPr>
          <w:szCs w:val="24"/>
          <w:lang w:val="ru-RU" w:eastAsia="ru-RU"/>
        </w:rPr>
        <w:t>Сообщалось про реакции гиперчувствительности с нижеуказанными проявлениями.</w:t>
      </w:r>
    </w:p>
    <w:p w14:paraId="6DF0D171" w14:textId="77777777" w:rsidR="004F62B5" w:rsidRPr="0037351D" w:rsidRDefault="004F62B5" w:rsidP="00A3433A">
      <w:pPr>
        <w:ind w:right="-1"/>
        <w:contextualSpacing/>
        <w:jc w:val="both"/>
        <w:rPr>
          <w:szCs w:val="24"/>
          <w:lang w:val="ru-RU" w:eastAsia="ru-RU"/>
        </w:rPr>
      </w:pPr>
      <w:r w:rsidRPr="0037351D">
        <w:rPr>
          <w:szCs w:val="24"/>
          <w:lang w:val="ru-RU" w:eastAsia="ru-RU"/>
        </w:rPr>
        <w:t>Нечасто: кожные реакции гиперчувствительности.</w:t>
      </w:r>
    </w:p>
    <w:p w14:paraId="4A9FC207" w14:textId="77777777" w:rsidR="004F62B5" w:rsidRPr="0037351D" w:rsidRDefault="004F62B5" w:rsidP="00A3433A">
      <w:pPr>
        <w:ind w:right="-1"/>
        <w:contextualSpacing/>
        <w:jc w:val="both"/>
        <w:rPr>
          <w:szCs w:val="24"/>
          <w:lang w:val="ru-RU" w:eastAsia="ru-RU"/>
        </w:rPr>
      </w:pPr>
      <w:r w:rsidRPr="0037351D">
        <w:rPr>
          <w:szCs w:val="24"/>
          <w:lang w:val="ru-RU" w:eastAsia="ru-RU"/>
        </w:rPr>
        <w:t>Очень редко: ангионевротический отек (главным образом лица и ротоглотки), р</w:t>
      </w:r>
      <w:r w:rsidR="009A3C92" w:rsidRPr="0037351D">
        <w:rPr>
          <w:szCs w:val="24"/>
          <w:lang w:val="ru-RU" w:eastAsia="ru-RU"/>
        </w:rPr>
        <w:t>еспираторные симптомы (одышка и/</w:t>
      </w:r>
      <w:r w:rsidRPr="0037351D">
        <w:rPr>
          <w:szCs w:val="24"/>
          <w:lang w:val="ru-RU" w:eastAsia="ru-RU"/>
        </w:rPr>
        <w:t>или бронхоспазм) и анафилактические реакции.</w:t>
      </w:r>
    </w:p>
    <w:p w14:paraId="6DE3689F" w14:textId="77777777" w:rsidR="00681A0B" w:rsidRPr="0037351D" w:rsidRDefault="00681A0B" w:rsidP="00A3433A">
      <w:pPr>
        <w:ind w:right="-1"/>
        <w:contextualSpacing/>
        <w:jc w:val="both"/>
        <w:rPr>
          <w:i/>
          <w:szCs w:val="24"/>
          <w:lang w:val="ru-RU" w:eastAsia="ru-RU"/>
        </w:rPr>
      </w:pPr>
      <w:r w:rsidRPr="0037351D">
        <w:rPr>
          <w:i/>
          <w:szCs w:val="24"/>
          <w:lang w:val="ru-RU" w:eastAsia="ru-RU"/>
        </w:rPr>
        <w:t>Нарушения со стороны органов зрения</w:t>
      </w:r>
    </w:p>
    <w:p w14:paraId="4831930C" w14:textId="77777777" w:rsidR="00681A0B" w:rsidRPr="0037351D" w:rsidRDefault="00681A0B" w:rsidP="00A3433A">
      <w:pPr>
        <w:ind w:right="-1"/>
        <w:contextualSpacing/>
        <w:jc w:val="both"/>
        <w:rPr>
          <w:szCs w:val="24"/>
          <w:lang w:val="ru-RU" w:eastAsia="ru-RU"/>
        </w:rPr>
      </w:pPr>
      <w:r w:rsidRPr="0037351D">
        <w:rPr>
          <w:szCs w:val="24"/>
          <w:lang w:val="ru-RU" w:eastAsia="ru-RU"/>
        </w:rPr>
        <w:t>Частота неизвестна: размытое зрение</w:t>
      </w:r>
      <w:r w:rsidR="00B850C6" w:rsidRPr="0037351D">
        <w:rPr>
          <w:szCs w:val="24"/>
          <w:lang w:val="ru-RU" w:eastAsia="ru-RU"/>
        </w:rPr>
        <w:t>.</w:t>
      </w:r>
    </w:p>
    <w:p w14:paraId="30E313CB" w14:textId="77777777" w:rsidR="004F62B5" w:rsidRPr="0037351D" w:rsidRDefault="004F62B5" w:rsidP="00A3433A">
      <w:pPr>
        <w:ind w:right="-1"/>
        <w:contextualSpacing/>
        <w:jc w:val="both"/>
        <w:rPr>
          <w:i/>
          <w:szCs w:val="24"/>
          <w:lang w:val="ru-RU" w:eastAsia="ru-RU"/>
        </w:rPr>
      </w:pPr>
      <w:r w:rsidRPr="0037351D">
        <w:rPr>
          <w:i/>
          <w:szCs w:val="24"/>
          <w:lang w:val="ru-RU" w:eastAsia="ru-RU"/>
        </w:rPr>
        <w:t>Эндокринн</w:t>
      </w:r>
      <w:r w:rsidR="004B39AB" w:rsidRPr="0037351D">
        <w:rPr>
          <w:i/>
          <w:szCs w:val="24"/>
          <w:lang w:val="ru-RU" w:eastAsia="ru-RU"/>
        </w:rPr>
        <w:t>ые</w:t>
      </w:r>
      <w:r w:rsidRPr="0037351D">
        <w:rPr>
          <w:i/>
          <w:szCs w:val="24"/>
          <w:lang w:val="ru-RU" w:eastAsia="ru-RU"/>
        </w:rPr>
        <w:t xml:space="preserve"> </w:t>
      </w:r>
      <w:r w:rsidR="004B39AB" w:rsidRPr="0037351D">
        <w:rPr>
          <w:i/>
          <w:szCs w:val="24"/>
          <w:lang w:val="ru-RU" w:eastAsia="ru-RU"/>
        </w:rPr>
        <w:t>расстройства</w:t>
      </w:r>
    </w:p>
    <w:p w14:paraId="127B23D2" w14:textId="5EA8E126" w:rsidR="004F62B5" w:rsidRPr="0037351D" w:rsidRDefault="004F62B5" w:rsidP="00A3433A">
      <w:pPr>
        <w:ind w:right="-1"/>
        <w:contextualSpacing/>
        <w:jc w:val="both"/>
        <w:rPr>
          <w:szCs w:val="24"/>
          <w:lang w:val="ru-RU" w:eastAsia="ru-RU"/>
        </w:rPr>
      </w:pPr>
      <w:r w:rsidRPr="0037351D">
        <w:rPr>
          <w:szCs w:val="24"/>
          <w:lang w:val="ru-RU" w:eastAsia="ru-RU"/>
        </w:rPr>
        <w:t>Возможно системное действие, что очень редко включает синдром Кушинга, кушингоидные признаки, угнетение функции надпочечников, задержку роста у детей и подростков, снижение минерализации костей, катаракту и глаукому (см. раздел «</w:t>
      </w:r>
      <w:r w:rsidR="001C7E10" w:rsidRPr="0037351D">
        <w:rPr>
          <w:szCs w:val="24"/>
          <w:lang w:val="ru-RU" w:eastAsia="ru-RU"/>
        </w:rPr>
        <w:t>Особенности применения</w:t>
      </w:r>
      <w:r w:rsidRPr="0037351D">
        <w:rPr>
          <w:szCs w:val="24"/>
          <w:lang w:val="ru-RU" w:eastAsia="ru-RU"/>
        </w:rPr>
        <w:t>»).</w:t>
      </w:r>
    </w:p>
    <w:p w14:paraId="1919F74C" w14:textId="77777777" w:rsidR="004B39AB" w:rsidRPr="0037351D" w:rsidRDefault="004B39AB" w:rsidP="00A3433A">
      <w:pPr>
        <w:ind w:right="-1"/>
        <w:contextualSpacing/>
        <w:jc w:val="both"/>
        <w:rPr>
          <w:i/>
          <w:szCs w:val="24"/>
          <w:lang w:val="ru-RU" w:eastAsia="ru-RU"/>
        </w:rPr>
      </w:pPr>
      <w:r w:rsidRPr="0037351D">
        <w:rPr>
          <w:i/>
          <w:szCs w:val="24"/>
          <w:lang w:val="ru-RU" w:eastAsia="ru-RU"/>
        </w:rPr>
        <w:t>Нарушения обмена веществ и м</w:t>
      </w:r>
      <w:r w:rsidR="004F62B5" w:rsidRPr="0037351D">
        <w:rPr>
          <w:i/>
          <w:szCs w:val="24"/>
          <w:lang w:val="ru-RU" w:eastAsia="ru-RU"/>
        </w:rPr>
        <w:t>етаболизм</w:t>
      </w:r>
      <w:r w:rsidR="00681A0B" w:rsidRPr="0037351D">
        <w:rPr>
          <w:i/>
          <w:szCs w:val="24"/>
          <w:lang w:val="ru-RU" w:eastAsia="ru-RU"/>
        </w:rPr>
        <w:t>а</w:t>
      </w:r>
      <w:r w:rsidR="004F62B5" w:rsidRPr="0037351D">
        <w:rPr>
          <w:i/>
          <w:szCs w:val="24"/>
          <w:lang w:val="ru-RU" w:eastAsia="ru-RU"/>
        </w:rPr>
        <w:t xml:space="preserve"> </w:t>
      </w:r>
    </w:p>
    <w:p w14:paraId="1430E771" w14:textId="134A9BD2" w:rsidR="004F62B5" w:rsidRPr="0037351D" w:rsidRDefault="004F62B5" w:rsidP="00A3433A">
      <w:pPr>
        <w:ind w:right="-1"/>
        <w:contextualSpacing/>
        <w:jc w:val="both"/>
        <w:rPr>
          <w:szCs w:val="24"/>
          <w:lang w:val="ru-RU" w:eastAsia="ru-RU"/>
        </w:rPr>
      </w:pPr>
      <w:r w:rsidRPr="0037351D">
        <w:rPr>
          <w:szCs w:val="24"/>
          <w:lang w:val="ru-RU" w:eastAsia="ru-RU"/>
        </w:rPr>
        <w:t>Очень редко: гипергликемия (см. раздел «</w:t>
      </w:r>
      <w:r w:rsidR="001C7E10" w:rsidRPr="0037351D">
        <w:rPr>
          <w:szCs w:val="24"/>
          <w:lang w:val="ru-RU" w:eastAsia="ru-RU"/>
        </w:rPr>
        <w:t>Особенности применения</w:t>
      </w:r>
      <w:r w:rsidRPr="0037351D">
        <w:rPr>
          <w:szCs w:val="24"/>
          <w:lang w:val="ru-RU" w:eastAsia="ru-RU"/>
        </w:rPr>
        <w:t>»).</w:t>
      </w:r>
    </w:p>
    <w:p w14:paraId="332BA2CF" w14:textId="77777777" w:rsidR="009A3C92" w:rsidRPr="0037351D" w:rsidRDefault="009A3C92" w:rsidP="00A3433A">
      <w:pPr>
        <w:ind w:right="-1"/>
        <w:contextualSpacing/>
        <w:jc w:val="both"/>
        <w:rPr>
          <w:i/>
          <w:szCs w:val="24"/>
          <w:lang w:val="ru-RU" w:eastAsia="ru-RU"/>
        </w:rPr>
      </w:pPr>
      <w:r w:rsidRPr="0037351D">
        <w:rPr>
          <w:i/>
          <w:szCs w:val="24"/>
          <w:lang w:val="ru-RU" w:eastAsia="ru-RU"/>
        </w:rPr>
        <w:t>Психиатрические расстройства</w:t>
      </w:r>
    </w:p>
    <w:p w14:paraId="2C11A0FD" w14:textId="77777777" w:rsidR="009A3C92" w:rsidRPr="0037351D" w:rsidRDefault="009A3C92" w:rsidP="00A3433A">
      <w:pPr>
        <w:ind w:right="-1"/>
        <w:contextualSpacing/>
        <w:jc w:val="both"/>
        <w:rPr>
          <w:szCs w:val="24"/>
          <w:lang w:val="ru-RU" w:eastAsia="ru-RU"/>
        </w:rPr>
      </w:pPr>
      <w:r w:rsidRPr="0037351D">
        <w:rPr>
          <w:szCs w:val="24"/>
          <w:lang w:val="ru-RU" w:eastAsia="ru-RU"/>
        </w:rPr>
        <w:t>Очень редко: ощущение беспокойства, нарушение сна, изменение поведения, включая гиперактивность и возбуждение (главным образом у детей).</w:t>
      </w:r>
    </w:p>
    <w:p w14:paraId="3B59CFD2" w14:textId="77777777" w:rsidR="009A3C92" w:rsidRPr="0037351D" w:rsidRDefault="009A3C92" w:rsidP="00A3433A">
      <w:pPr>
        <w:ind w:right="-1"/>
        <w:contextualSpacing/>
        <w:jc w:val="both"/>
        <w:rPr>
          <w:szCs w:val="24"/>
          <w:lang w:val="ru-RU" w:eastAsia="ru-RU"/>
        </w:rPr>
      </w:pPr>
      <w:r w:rsidRPr="0037351D">
        <w:rPr>
          <w:szCs w:val="24"/>
          <w:lang w:val="ru-RU" w:eastAsia="ru-RU"/>
        </w:rPr>
        <w:t>Частота неизвестна: депрессия, агрессия (главным образом у детей).</w:t>
      </w:r>
    </w:p>
    <w:p w14:paraId="7F8670D2" w14:textId="77777777" w:rsidR="009A3C92" w:rsidRPr="0037351D" w:rsidRDefault="004B39AB" w:rsidP="00A3433A">
      <w:pPr>
        <w:ind w:right="-1"/>
        <w:contextualSpacing/>
        <w:jc w:val="both"/>
        <w:rPr>
          <w:i/>
          <w:szCs w:val="24"/>
          <w:lang w:val="ru-RU" w:eastAsia="ru-RU"/>
        </w:rPr>
      </w:pPr>
      <w:r w:rsidRPr="0037351D">
        <w:rPr>
          <w:i/>
          <w:szCs w:val="24"/>
          <w:lang w:val="ru-RU" w:eastAsia="ru-RU"/>
        </w:rPr>
        <w:t>Нарушения со стороны д</w:t>
      </w:r>
      <w:r w:rsidR="009A3C92" w:rsidRPr="0037351D">
        <w:rPr>
          <w:i/>
          <w:szCs w:val="24"/>
          <w:lang w:val="ru-RU" w:eastAsia="ru-RU"/>
        </w:rPr>
        <w:t>ыхательн</w:t>
      </w:r>
      <w:r w:rsidRPr="0037351D">
        <w:rPr>
          <w:i/>
          <w:szCs w:val="24"/>
          <w:lang w:val="ru-RU" w:eastAsia="ru-RU"/>
        </w:rPr>
        <w:t>ой</w:t>
      </w:r>
      <w:r w:rsidR="009A3C92" w:rsidRPr="0037351D">
        <w:rPr>
          <w:i/>
          <w:szCs w:val="24"/>
          <w:lang w:val="ru-RU" w:eastAsia="ru-RU"/>
        </w:rPr>
        <w:t xml:space="preserve"> систем</w:t>
      </w:r>
      <w:r w:rsidRPr="0037351D">
        <w:rPr>
          <w:i/>
          <w:szCs w:val="24"/>
          <w:lang w:val="ru-RU" w:eastAsia="ru-RU"/>
        </w:rPr>
        <w:t>ы,</w:t>
      </w:r>
      <w:r w:rsidR="009A3C92" w:rsidRPr="0037351D">
        <w:rPr>
          <w:i/>
          <w:szCs w:val="24"/>
          <w:lang w:val="ru-RU" w:eastAsia="ru-RU"/>
        </w:rPr>
        <w:t xml:space="preserve"> </w:t>
      </w:r>
      <w:r w:rsidRPr="0037351D">
        <w:rPr>
          <w:i/>
          <w:szCs w:val="24"/>
          <w:lang w:val="ru-RU" w:eastAsia="ru-RU"/>
        </w:rPr>
        <w:t>органов</w:t>
      </w:r>
      <w:r w:rsidR="009A3C92" w:rsidRPr="0037351D">
        <w:rPr>
          <w:i/>
          <w:szCs w:val="24"/>
          <w:lang w:val="ru-RU" w:eastAsia="ru-RU"/>
        </w:rPr>
        <w:t xml:space="preserve"> грудн</w:t>
      </w:r>
      <w:r w:rsidRPr="0037351D">
        <w:rPr>
          <w:i/>
          <w:szCs w:val="24"/>
          <w:lang w:val="ru-RU" w:eastAsia="ru-RU"/>
        </w:rPr>
        <w:t>ой</w:t>
      </w:r>
      <w:r w:rsidR="009A3C92" w:rsidRPr="0037351D">
        <w:rPr>
          <w:i/>
          <w:szCs w:val="24"/>
          <w:lang w:val="ru-RU" w:eastAsia="ru-RU"/>
        </w:rPr>
        <w:t xml:space="preserve"> клетк</w:t>
      </w:r>
      <w:r w:rsidRPr="0037351D">
        <w:rPr>
          <w:i/>
          <w:szCs w:val="24"/>
          <w:lang w:val="ru-RU" w:eastAsia="ru-RU"/>
        </w:rPr>
        <w:t>и и средостения</w:t>
      </w:r>
    </w:p>
    <w:p w14:paraId="63A317B5" w14:textId="77777777" w:rsidR="009A3C92" w:rsidRPr="0037351D" w:rsidRDefault="009A3C92" w:rsidP="00A3433A">
      <w:pPr>
        <w:ind w:right="-1"/>
        <w:contextualSpacing/>
        <w:jc w:val="both"/>
        <w:rPr>
          <w:szCs w:val="24"/>
          <w:lang w:val="ru-RU" w:eastAsia="ru-RU"/>
        </w:rPr>
      </w:pPr>
      <w:r w:rsidRPr="0037351D">
        <w:rPr>
          <w:szCs w:val="24"/>
          <w:lang w:val="ru-RU" w:eastAsia="ru-RU"/>
        </w:rPr>
        <w:t>Часто: охриплость голоса.</w:t>
      </w:r>
    </w:p>
    <w:p w14:paraId="02D1587E" w14:textId="77777777" w:rsidR="009A3C92" w:rsidRPr="0037351D" w:rsidRDefault="009A3C92" w:rsidP="00A3433A">
      <w:pPr>
        <w:ind w:right="-1"/>
        <w:contextualSpacing/>
        <w:jc w:val="both"/>
        <w:rPr>
          <w:szCs w:val="24"/>
          <w:lang w:val="ru-RU" w:eastAsia="ru-RU"/>
        </w:rPr>
      </w:pPr>
      <w:r w:rsidRPr="0037351D">
        <w:rPr>
          <w:szCs w:val="24"/>
          <w:lang w:val="ru-RU" w:eastAsia="ru-RU"/>
        </w:rPr>
        <w:t>У некоторых пациентов ингаляционный фл</w:t>
      </w:r>
      <w:r w:rsidR="005B0715" w:rsidRPr="0037351D">
        <w:rPr>
          <w:szCs w:val="24"/>
          <w:lang w:val="ru-RU" w:eastAsia="ru-RU"/>
        </w:rPr>
        <w:t>у</w:t>
      </w:r>
      <w:r w:rsidRPr="0037351D">
        <w:rPr>
          <w:szCs w:val="24"/>
          <w:lang w:val="ru-RU" w:eastAsia="ru-RU"/>
        </w:rPr>
        <w:t>тиказона пропионат может быть причиной охриплости голоса, в этом случае полезно полоскание горла водой сразу после ингаляции.</w:t>
      </w:r>
    </w:p>
    <w:p w14:paraId="343C962B" w14:textId="68E23421" w:rsidR="009A3C92" w:rsidRPr="0037351D" w:rsidRDefault="009A3C92" w:rsidP="00A3433A">
      <w:pPr>
        <w:ind w:right="-1"/>
        <w:contextualSpacing/>
        <w:jc w:val="both"/>
        <w:rPr>
          <w:szCs w:val="24"/>
          <w:lang w:val="ru-RU" w:eastAsia="ru-RU"/>
        </w:rPr>
      </w:pPr>
      <w:r w:rsidRPr="0037351D">
        <w:rPr>
          <w:szCs w:val="24"/>
          <w:lang w:val="ru-RU" w:eastAsia="ru-RU"/>
        </w:rPr>
        <w:t>Очень редко: парадоксальный бронхоспазм (см. раздел «</w:t>
      </w:r>
      <w:r w:rsidR="001C7E10" w:rsidRPr="0037351D">
        <w:rPr>
          <w:szCs w:val="24"/>
          <w:lang w:val="ru-RU" w:eastAsia="ru-RU"/>
        </w:rPr>
        <w:t>Особенности применения</w:t>
      </w:r>
      <w:r w:rsidRPr="0037351D">
        <w:rPr>
          <w:szCs w:val="24"/>
          <w:lang w:val="ru-RU" w:eastAsia="ru-RU"/>
        </w:rPr>
        <w:t>»).</w:t>
      </w:r>
    </w:p>
    <w:p w14:paraId="1359B28A" w14:textId="77777777" w:rsidR="009A3C92" w:rsidRPr="0037351D" w:rsidRDefault="009A3C92" w:rsidP="00A3433A">
      <w:pPr>
        <w:ind w:right="-1"/>
        <w:contextualSpacing/>
        <w:jc w:val="both"/>
        <w:rPr>
          <w:szCs w:val="24"/>
          <w:lang w:val="ru-RU" w:eastAsia="ru-RU"/>
        </w:rPr>
      </w:pPr>
      <w:r w:rsidRPr="0037351D">
        <w:rPr>
          <w:szCs w:val="24"/>
          <w:lang w:val="ru-RU" w:eastAsia="ru-RU"/>
        </w:rPr>
        <w:t>Частота неизвестна: носовые кровотечения.</w:t>
      </w:r>
    </w:p>
    <w:p w14:paraId="7323041D" w14:textId="5CF05854" w:rsidR="004F62B5" w:rsidRPr="0037351D" w:rsidRDefault="004B39AB" w:rsidP="00A3433A">
      <w:pPr>
        <w:ind w:right="-1"/>
        <w:contextualSpacing/>
        <w:jc w:val="both"/>
        <w:rPr>
          <w:i/>
          <w:szCs w:val="24"/>
          <w:lang w:val="ru-RU" w:eastAsia="ru-RU"/>
        </w:rPr>
      </w:pPr>
      <w:r w:rsidRPr="0037351D">
        <w:rPr>
          <w:i/>
          <w:szCs w:val="24"/>
          <w:lang w:val="ru-RU" w:eastAsia="ru-RU"/>
        </w:rPr>
        <w:t>Желудочно-кишечные расстройства</w:t>
      </w:r>
    </w:p>
    <w:p w14:paraId="2161BE47" w14:textId="77777777" w:rsidR="004F62B5" w:rsidRPr="0037351D" w:rsidRDefault="004F62B5" w:rsidP="00A3433A">
      <w:pPr>
        <w:ind w:right="-1"/>
        <w:contextualSpacing/>
        <w:jc w:val="both"/>
        <w:rPr>
          <w:szCs w:val="24"/>
          <w:lang w:val="ru-RU" w:eastAsia="ru-RU"/>
        </w:rPr>
      </w:pPr>
      <w:r w:rsidRPr="0037351D">
        <w:rPr>
          <w:szCs w:val="24"/>
          <w:lang w:val="ru-RU" w:eastAsia="ru-RU"/>
        </w:rPr>
        <w:t>Очень редко: диспепсия.</w:t>
      </w:r>
    </w:p>
    <w:p w14:paraId="3DCD7971" w14:textId="77777777" w:rsidR="004F62B5" w:rsidRPr="0037351D" w:rsidRDefault="00681A0B" w:rsidP="00A3433A">
      <w:pPr>
        <w:ind w:right="-1"/>
        <w:contextualSpacing/>
        <w:jc w:val="both"/>
        <w:rPr>
          <w:i/>
          <w:szCs w:val="24"/>
          <w:lang w:val="ru-RU" w:eastAsia="ru-RU"/>
        </w:rPr>
      </w:pPr>
      <w:r w:rsidRPr="0037351D">
        <w:rPr>
          <w:i/>
          <w:szCs w:val="24"/>
          <w:lang w:val="ru-RU" w:eastAsia="ru-RU"/>
        </w:rPr>
        <w:t>Нарушения со стороны о</w:t>
      </w:r>
      <w:r w:rsidR="004F62B5" w:rsidRPr="0037351D">
        <w:rPr>
          <w:i/>
          <w:szCs w:val="24"/>
          <w:lang w:val="ru-RU" w:eastAsia="ru-RU"/>
        </w:rPr>
        <w:t>порно-двигательн</w:t>
      </w:r>
      <w:r w:rsidRPr="0037351D">
        <w:rPr>
          <w:i/>
          <w:szCs w:val="24"/>
          <w:lang w:val="ru-RU" w:eastAsia="ru-RU"/>
        </w:rPr>
        <w:t>ой</w:t>
      </w:r>
      <w:r w:rsidR="004F62B5" w:rsidRPr="0037351D">
        <w:rPr>
          <w:i/>
          <w:szCs w:val="24"/>
          <w:lang w:val="ru-RU" w:eastAsia="ru-RU"/>
        </w:rPr>
        <w:t xml:space="preserve"> </w:t>
      </w:r>
      <w:r w:rsidRPr="0037351D">
        <w:rPr>
          <w:i/>
          <w:szCs w:val="24"/>
          <w:lang w:val="ru-RU" w:eastAsia="ru-RU"/>
        </w:rPr>
        <w:t>системы</w:t>
      </w:r>
      <w:r w:rsidR="004F62B5" w:rsidRPr="0037351D">
        <w:rPr>
          <w:i/>
          <w:szCs w:val="24"/>
          <w:lang w:val="ru-RU" w:eastAsia="ru-RU"/>
        </w:rPr>
        <w:t xml:space="preserve"> и соединительной ткани</w:t>
      </w:r>
    </w:p>
    <w:p w14:paraId="0EB8C11D" w14:textId="77777777" w:rsidR="004F62B5" w:rsidRPr="0037351D" w:rsidRDefault="004F62B5" w:rsidP="00A3433A">
      <w:pPr>
        <w:ind w:right="-1"/>
        <w:contextualSpacing/>
        <w:jc w:val="both"/>
        <w:rPr>
          <w:szCs w:val="24"/>
          <w:lang w:val="ru-RU" w:eastAsia="ru-RU"/>
        </w:rPr>
      </w:pPr>
      <w:r w:rsidRPr="0037351D">
        <w:rPr>
          <w:szCs w:val="24"/>
          <w:lang w:val="ru-RU" w:eastAsia="ru-RU"/>
        </w:rPr>
        <w:t>Очень редко: артралгия.</w:t>
      </w:r>
    </w:p>
    <w:p w14:paraId="60D53FF0" w14:textId="77777777" w:rsidR="00681A0B" w:rsidRPr="0037351D" w:rsidRDefault="00681A0B" w:rsidP="00A3433A">
      <w:pPr>
        <w:ind w:right="-1"/>
        <w:contextualSpacing/>
        <w:jc w:val="both"/>
        <w:rPr>
          <w:i/>
          <w:szCs w:val="24"/>
          <w:lang w:val="ru-RU" w:eastAsia="ru-RU"/>
        </w:rPr>
      </w:pPr>
      <w:r w:rsidRPr="0037351D">
        <w:rPr>
          <w:i/>
          <w:szCs w:val="24"/>
          <w:lang w:val="ru-RU" w:eastAsia="ru-RU"/>
        </w:rPr>
        <w:t>Изменения со стороны к</w:t>
      </w:r>
      <w:r w:rsidR="004F62B5" w:rsidRPr="0037351D">
        <w:rPr>
          <w:i/>
          <w:szCs w:val="24"/>
          <w:lang w:val="ru-RU" w:eastAsia="ru-RU"/>
        </w:rPr>
        <w:t>ож</w:t>
      </w:r>
      <w:r w:rsidRPr="0037351D">
        <w:rPr>
          <w:i/>
          <w:szCs w:val="24"/>
          <w:lang w:val="ru-RU" w:eastAsia="ru-RU"/>
        </w:rPr>
        <w:t>и</w:t>
      </w:r>
      <w:r w:rsidR="004F62B5" w:rsidRPr="0037351D">
        <w:rPr>
          <w:i/>
          <w:szCs w:val="24"/>
          <w:lang w:val="ru-RU" w:eastAsia="ru-RU"/>
        </w:rPr>
        <w:t xml:space="preserve"> и подкожн</w:t>
      </w:r>
      <w:r w:rsidRPr="0037351D">
        <w:rPr>
          <w:i/>
          <w:szCs w:val="24"/>
          <w:lang w:val="ru-RU" w:eastAsia="ru-RU"/>
        </w:rPr>
        <w:t>ой</w:t>
      </w:r>
      <w:r w:rsidR="004F62B5" w:rsidRPr="0037351D">
        <w:rPr>
          <w:i/>
          <w:szCs w:val="24"/>
          <w:lang w:val="ru-RU" w:eastAsia="ru-RU"/>
        </w:rPr>
        <w:t xml:space="preserve"> </w:t>
      </w:r>
      <w:r w:rsidRPr="0037351D">
        <w:rPr>
          <w:i/>
          <w:szCs w:val="24"/>
          <w:lang w:val="ru-RU" w:eastAsia="ru-RU"/>
        </w:rPr>
        <w:t>клетчатки</w:t>
      </w:r>
    </w:p>
    <w:p w14:paraId="7002C22F" w14:textId="77777777" w:rsidR="004F62B5" w:rsidRPr="0037351D" w:rsidRDefault="004F62B5" w:rsidP="00A3433A">
      <w:pPr>
        <w:ind w:right="-1"/>
        <w:contextualSpacing/>
        <w:jc w:val="both"/>
        <w:rPr>
          <w:szCs w:val="24"/>
          <w:lang w:val="ru-RU" w:eastAsia="ru-RU"/>
        </w:rPr>
      </w:pPr>
      <w:r w:rsidRPr="0037351D">
        <w:rPr>
          <w:szCs w:val="24"/>
          <w:lang w:val="ru-RU" w:eastAsia="ru-RU"/>
        </w:rPr>
        <w:t>Часто: синяки.</w:t>
      </w:r>
    </w:p>
    <w:p w14:paraId="34E089C6" w14:textId="0DEA4B6B" w:rsidR="00681A0B" w:rsidRPr="0037351D" w:rsidRDefault="00681A0B" w:rsidP="00A3433A">
      <w:pPr>
        <w:ind w:right="-1"/>
        <w:contextualSpacing/>
        <w:jc w:val="both"/>
        <w:rPr>
          <w:b/>
          <w:szCs w:val="24"/>
          <w:lang w:val="ru-RU"/>
        </w:rPr>
      </w:pPr>
    </w:p>
    <w:p w14:paraId="1284657E" w14:textId="77777777" w:rsidR="00887595" w:rsidRPr="0037351D" w:rsidRDefault="00887595" w:rsidP="00A3433A">
      <w:pPr>
        <w:ind w:right="-1"/>
        <w:jc w:val="both"/>
        <w:rPr>
          <w:rFonts w:eastAsia="Calibri"/>
          <w:b/>
          <w:snapToGrid w:val="0"/>
          <w:szCs w:val="24"/>
        </w:rPr>
      </w:pPr>
      <w:r w:rsidRPr="0037351D">
        <w:rPr>
          <w:rFonts w:eastAsia="Calibri"/>
          <w:b/>
          <w:snapToGrid w:val="0"/>
          <w:szCs w:val="24"/>
        </w:rPr>
        <w:t>Сообщение о подозреваемых нежелательных реакциях</w:t>
      </w:r>
    </w:p>
    <w:p w14:paraId="7C364725" w14:textId="77777777" w:rsidR="00887595" w:rsidRPr="0037351D" w:rsidRDefault="00887595" w:rsidP="00A3433A">
      <w:pPr>
        <w:ind w:right="-1"/>
        <w:jc w:val="both"/>
        <w:rPr>
          <w:rFonts w:eastAsia="Calibri"/>
          <w:snapToGrid w:val="0"/>
          <w:szCs w:val="24"/>
        </w:rPr>
      </w:pPr>
      <w:r w:rsidRPr="0037351D">
        <w:rPr>
          <w:rFonts w:eastAsia="Calibri"/>
          <w:snapToGrid w:val="0"/>
          <w:szCs w:val="24"/>
        </w:rPr>
        <w:t xml:space="preserve">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 </w:t>
      </w:r>
      <w:r w:rsidRPr="0037351D">
        <w:rPr>
          <w:snapToGrid w:val="0"/>
          <w:szCs w:val="24"/>
          <w:bdr w:val="none" w:sz="0" w:space="0" w:color="auto" w:frame="1"/>
        </w:rPr>
        <w:t xml:space="preserve">– </w:t>
      </w:r>
      <w:r w:rsidRPr="0037351D">
        <w:rPr>
          <w:rFonts w:eastAsia="Calibri"/>
          <w:snapToGrid w:val="0"/>
          <w:szCs w:val="24"/>
        </w:rPr>
        <w:t>риск» лекарственного препарата. Медицинским работникам рекомендуется сообщать о любых подозреваемых нежелательных реакциях лекарственного препарата через национальную систему сообщения о нежелательных реакциях Кыргызской Республики:</w:t>
      </w:r>
    </w:p>
    <w:p w14:paraId="4954555F" w14:textId="77777777" w:rsidR="00887595" w:rsidRPr="0037351D" w:rsidRDefault="00887595" w:rsidP="00A3433A">
      <w:pPr>
        <w:ind w:right="-1"/>
        <w:jc w:val="both"/>
        <w:rPr>
          <w:rFonts w:eastAsia="Calibri"/>
          <w:snapToGrid w:val="0"/>
          <w:szCs w:val="24"/>
        </w:rPr>
      </w:pPr>
      <w:r w:rsidRPr="0037351D">
        <w:rPr>
          <w:rFonts w:eastAsia="Calibri"/>
          <w:snapToGrid w:val="0"/>
          <w:szCs w:val="24"/>
        </w:rPr>
        <w:t>Департамент лекарственных средств и медицинских изделий при Министерстве Здравоохранения Кыргызской Республики</w:t>
      </w:r>
    </w:p>
    <w:p w14:paraId="435BEBF6" w14:textId="77777777" w:rsidR="00887595" w:rsidRPr="0037351D" w:rsidRDefault="008768F9" w:rsidP="00A3433A">
      <w:pPr>
        <w:ind w:right="-1"/>
        <w:jc w:val="both"/>
        <w:rPr>
          <w:rFonts w:eastAsia="Calibri"/>
          <w:snapToGrid w:val="0"/>
          <w:szCs w:val="24"/>
        </w:rPr>
      </w:pPr>
      <w:hyperlink r:id="rId10" w:history="1">
        <w:r w:rsidR="00887595" w:rsidRPr="0037351D">
          <w:rPr>
            <w:rFonts w:eastAsia="Calibri"/>
            <w:snapToGrid w:val="0"/>
            <w:szCs w:val="24"/>
          </w:rPr>
          <w:t>http://www.pharm.kg</w:t>
        </w:r>
      </w:hyperlink>
    </w:p>
    <w:p w14:paraId="38781D07" w14:textId="77777777" w:rsidR="00887595" w:rsidRPr="0037351D" w:rsidRDefault="00887595" w:rsidP="00A3433A">
      <w:pPr>
        <w:ind w:right="-1"/>
        <w:jc w:val="both"/>
        <w:rPr>
          <w:rFonts w:eastAsia="Calibri"/>
          <w:snapToGrid w:val="0"/>
          <w:szCs w:val="24"/>
        </w:rPr>
      </w:pPr>
      <w:r w:rsidRPr="0037351D">
        <w:rPr>
          <w:szCs w:val="24"/>
          <w:bdr w:val="none" w:sz="0" w:space="0" w:color="auto" w:frame="1"/>
          <w:shd w:val="clear" w:color="auto" w:fill="FFFFFF"/>
        </w:rPr>
        <w:lastRenderedPageBreak/>
        <w:t xml:space="preserve">Также можно отправить сообщение электронной почтой на </w:t>
      </w:r>
      <w:r w:rsidRPr="0037351D">
        <w:rPr>
          <w:szCs w:val="24"/>
          <w:bdr w:val="none" w:sz="0" w:space="0" w:color="auto" w:frame="1"/>
          <w:shd w:val="clear" w:color="auto" w:fill="FFFFFF"/>
          <w:lang w:val="en-US"/>
        </w:rPr>
        <w:t>asia</w:t>
      </w:r>
      <w:r w:rsidRPr="0037351D">
        <w:rPr>
          <w:szCs w:val="24"/>
          <w:bdr w:val="none" w:sz="0" w:space="0" w:color="auto" w:frame="1"/>
          <w:shd w:val="clear" w:color="auto" w:fill="FFFFFF"/>
        </w:rPr>
        <w:t>.</w:t>
      </w:r>
      <w:r w:rsidRPr="0037351D">
        <w:rPr>
          <w:szCs w:val="24"/>
          <w:bdr w:val="none" w:sz="0" w:space="0" w:color="auto" w:frame="1"/>
          <w:shd w:val="clear" w:color="auto" w:fill="FFFFFF"/>
          <w:lang w:val="en-US"/>
        </w:rPr>
        <w:t>kppv</w:t>
      </w:r>
      <w:r w:rsidRPr="0037351D">
        <w:rPr>
          <w:szCs w:val="24"/>
          <w:bdr w:val="none" w:sz="0" w:space="0" w:color="auto" w:frame="1"/>
          <w:shd w:val="clear" w:color="auto" w:fill="FFFFFF"/>
        </w:rPr>
        <w:t>@</w:t>
      </w:r>
      <w:r w:rsidRPr="0037351D">
        <w:rPr>
          <w:szCs w:val="24"/>
          <w:bdr w:val="none" w:sz="0" w:space="0" w:color="auto" w:frame="1"/>
          <w:shd w:val="clear" w:color="auto" w:fill="FFFFFF"/>
          <w:lang w:val="en-US"/>
        </w:rPr>
        <w:t>uf</w:t>
      </w:r>
      <w:r w:rsidRPr="0037351D">
        <w:rPr>
          <w:szCs w:val="24"/>
          <w:bdr w:val="none" w:sz="0" w:space="0" w:color="auto" w:frame="1"/>
          <w:shd w:val="clear" w:color="auto" w:fill="FFFFFF"/>
        </w:rPr>
        <w:t>.</w:t>
      </w:r>
      <w:r w:rsidRPr="0037351D">
        <w:rPr>
          <w:szCs w:val="24"/>
          <w:bdr w:val="none" w:sz="0" w:space="0" w:color="auto" w:frame="1"/>
          <w:shd w:val="clear" w:color="auto" w:fill="FFFFFF"/>
          <w:lang w:val="en-US"/>
        </w:rPr>
        <w:t>ua</w:t>
      </w:r>
      <w:r w:rsidRPr="0037351D">
        <w:rPr>
          <w:szCs w:val="24"/>
          <w:bdr w:val="none" w:sz="0" w:space="0" w:color="auto" w:frame="1"/>
          <w:shd w:val="clear" w:color="auto" w:fill="FFFFFF"/>
        </w:rPr>
        <w:t xml:space="preserve"> или обратиться по телефону: +996 550 740402.</w:t>
      </w:r>
    </w:p>
    <w:p w14:paraId="705BF2F4" w14:textId="77777777" w:rsidR="00887595" w:rsidRPr="0037351D" w:rsidRDefault="00887595" w:rsidP="00A3433A">
      <w:pPr>
        <w:ind w:right="-1"/>
        <w:contextualSpacing/>
        <w:jc w:val="both"/>
        <w:rPr>
          <w:b/>
          <w:szCs w:val="24"/>
        </w:rPr>
      </w:pPr>
    </w:p>
    <w:p w14:paraId="25123EC8" w14:textId="77777777" w:rsidR="00640673" w:rsidRPr="0037351D" w:rsidRDefault="00640673" w:rsidP="00A3433A">
      <w:pPr>
        <w:ind w:right="-1"/>
        <w:contextualSpacing/>
        <w:jc w:val="both"/>
        <w:rPr>
          <w:b/>
          <w:szCs w:val="24"/>
          <w:lang w:val="ru-RU"/>
        </w:rPr>
      </w:pPr>
      <w:r w:rsidRPr="0037351D">
        <w:rPr>
          <w:b/>
          <w:szCs w:val="24"/>
          <w:lang w:val="ru-RU"/>
        </w:rPr>
        <w:t>Срок годности</w:t>
      </w:r>
    </w:p>
    <w:p w14:paraId="47FF4DEE" w14:textId="115EF345" w:rsidR="00F62519" w:rsidRPr="0037351D" w:rsidRDefault="00F62519" w:rsidP="00A3433A">
      <w:pPr>
        <w:ind w:right="-1"/>
        <w:contextualSpacing/>
        <w:jc w:val="both"/>
        <w:rPr>
          <w:b/>
          <w:i/>
          <w:szCs w:val="24"/>
          <w:lang w:val="ru-RU"/>
        </w:rPr>
      </w:pPr>
      <w:r w:rsidRPr="0037351D">
        <w:rPr>
          <w:szCs w:val="24"/>
          <w:lang w:val="ru-RU" w:eastAsia="ru-RU"/>
        </w:rPr>
        <w:t>3</w:t>
      </w:r>
      <w:r w:rsidR="004E4B20" w:rsidRPr="0037351D">
        <w:rPr>
          <w:szCs w:val="24"/>
          <w:lang w:val="ru-RU" w:eastAsia="ru-RU"/>
        </w:rPr>
        <w:t> </w:t>
      </w:r>
      <w:r w:rsidRPr="0037351D">
        <w:rPr>
          <w:szCs w:val="24"/>
          <w:lang w:val="ru-RU" w:eastAsia="ru-RU"/>
        </w:rPr>
        <w:t>года.</w:t>
      </w:r>
    </w:p>
    <w:p w14:paraId="285D840C" w14:textId="77777777" w:rsidR="00F62519" w:rsidRPr="0037351D" w:rsidRDefault="00F62519" w:rsidP="00A3433A">
      <w:pPr>
        <w:ind w:right="-1"/>
        <w:contextualSpacing/>
        <w:jc w:val="both"/>
        <w:rPr>
          <w:b/>
          <w:szCs w:val="24"/>
          <w:lang w:val="ru-RU"/>
        </w:rPr>
      </w:pPr>
    </w:p>
    <w:p w14:paraId="269F7902" w14:textId="77777777" w:rsidR="004F62B5" w:rsidRPr="0037351D" w:rsidRDefault="002D22D3" w:rsidP="00A3433A">
      <w:pPr>
        <w:ind w:right="-1"/>
        <w:contextualSpacing/>
        <w:jc w:val="both"/>
        <w:rPr>
          <w:szCs w:val="24"/>
          <w:lang w:val="ru-RU"/>
        </w:rPr>
      </w:pPr>
      <w:r w:rsidRPr="0037351D">
        <w:rPr>
          <w:b/>
          <w:szCs w:val="24"/>
          <w:lang w:val="ru-RU"/>
        </w:rPr>
        <w:t>Условия хранения</w:t>
      </w:r>
    </w:p>
    <w:p w14:paraId="4EF2017D" w14:textId="66D65FD7" w:rsidR="004F62B5" w:rsidRPr="0037351D" w:rsidRDefault="004F62B5" w:rsidP="00A3433A">
      <w:pPr>
        <w:ind w:right="-1"/>
        <w:contextualSpacing/>
        <w:jc w:val="both"/>
        <w:rPr>
          <w:iCs/>
          <w:szCs w:val="24"/>
          <w:lang w:val="ru-RU"/>
        </w:rPr>
      </w:pPr>
      <w:r w:rsidRPr="0037351D">
        <w:rPr>
          <w:iCs/>
          <w:szCs w:val="24"/>
          <w:lang w:val="ru-RU"/>
        </w:rPr>
        <w:t>Хранить в недоступном для детей месте при температуре не выше 25</w:t>
      </w:r>
      <w:r w:rsidR="004E4B20" w:rsidRPr="0037351D">
        <w:rPr>
          <w:iCs/>
          <w:szCs w:val="24"/>
          <w:lang w:val="ru-RU"/>
        </w:rPr>
        <w:t> </w:t>
      </w:r>
      <w:r w:rsidRPr="0037351D">
        <w:rPr>
          <w:szCs w:val="24"/>
          <w:lang w:val="ru-RU" w:eastAsia="ru-RU"/>
        </w:rPr>
        <w:sym w:font="Symbol" w:char="F0B0"/>
      </w:r>
      <w:r w:rsidRPr="0037351D">
        <w:rPr>
          <w:iCs/>
          <w:szCs w:val="24"/>
          <w:lang w:val="ru-RU"/>
        </w:rPr>
        <w:t>С.</w:t>
      </w:r>
    </w:p>
    <w:p w14:paraId="3530085B" w14:textId="77777777" w:rsidR="004F62B5" w:rsidRPr="0037351D" w:rsidRDefault="004F62B5" w:rsidP="00A3433A">
      <w:pPr>
        <w:ind w:right="-1"/>
        <w:contextualSpacing/>
        <w:jc w:val="both"/>
        <w:rPr>
          <w:iCs/>
          <w:szCs w:val="24"/>
          <w:lang w:val="ru-RU"/>
        </w:rPr>
      </w:pPr>
      <w:r w:rsidRPr="0037351D">
        <w:rPr>
          <w:iCs/>
          <w:szCs w:val="24"/>
          <w:lang w:val="ru-RU"/>
        </w:rPr>
        <w:t>Не допускать замораживания и воздействия прямого солнечного света.</w:t>
      </w:r>
    </w:p>
    <w:p w14:paraId="0EBD4CC6" w14:textId="1180CE73" w:rsidR="004F62B5" w:rsidRPr="0037351D" w:rsidRDefault="004F62B5" w:rsidP="00A3433A">
      <w:pPr>
        <w:ind w:right="-1"/>
        <w:contextualSpacing/>
        <w:jc w:val="both"/>
        <w:rPr>
          <w:iCs/>
          <w:szCs w:val="24"/>
          <w:lang w:val="ru-RU"/>
        </w:rPr>
      </w:pPr>
      <w:r w:rsidRPr="0037351D">
        <w:rPr>
          <w:iCs/>
          <w:szCs w:val="24"/>
          <w:lang w:val="ru-RU"/>
        </w:rPr>
        <w:t>Раскрытые контейнеры следует хранить в холодильнике и использовать в течение 12</w:t>
      </w:r>
      <w:r w:rsidR="004E4B20" w:rsidRPr="0037351D">
        <w:rPr>
          <w:iCs/>
          <w:szCs w:val="24"/>
          <w:lang w:val="ru-RU"/>
        </w:rPr>
        <w:t> </w:t>
      </w:r>
      <w:r w:rsidRPr="0037351D">
        <w:rPr>
          <w:iCs/>
          <w:szCs w:val="24"/>
          <w:lang w:val="ru-RU"/>
        </w:rPr>
        <w:t>часов после вскрытия.</w:t>
      </w:r>
    </w:p>
    <w:p w14:paraId="0F3706DF" w14:textId="77777777" w:rsidR="004F62B5" w:rsidRPr="0037351D" w:rsidRDefault="004F62B5" w:rsidP="00A3433A">
      <w:pPr>
        <w:ind w:right="-1"/>
        <w:contextualSpacing/>
        <w:jc w:val="both"/>
        <w:rPr>
          <w:iCs/>
          <w:szCs w:val="24"/>
          <w:lang w:val="ru-RU"/>
        </w:rPr>
      </w:pPr>
      <w:r w:rsidRPr="0037351D">
        <w:rPr>
          <w:iCs/>
          <w:szCs w:val="24"/>
          <w:lang w:val="ru-RU"/>
        </w:rPr>
        <w:t>Хранить в вертикальном положении.</w:t>
      </w:r>
    </w:p>
    <w:p w14:paraId="4D0F62AA" w14:textId="77777777" w:rsidR="00A55268" w:rsidRPr="0037351D" w:rsidRDefault="00A55268" w:rsidP="00A3433A">
      <w:pPr>
        <w:ind w:right="-1"/>
        <w:contextualSpacing/>
        <w:jc w:val="both"/>
        <w:rPr>
          <w:b/>
          <w:szCs w:val="24"/>
          <w:lang w:val="ru-RU"/>
        </w:rPr>
      </w:pPr>
    </w:p>
    <w:p w14:paraId="3D5B41FE" w14:textId="77777777" w:rsidR="00AA2122" w:rsidRPr="0037351D" w:rsidRDefault="00AA2122" w:rsidP="0084503D">
      <w:pPr>
        <w:ind w:right="-1"/>
        <w:contextualSpacing/>
        <w:jc w:val="both"/>
        <w:rPr>
          <w:b/>
          <w:szCs w:val="24"/>
        </w:rPr>
      </w:pPr>
      <w:r w:rsidRPr="0037351D">
        <w:rPr>
          <w:b/>
          <w:szCs w:val="24"/>
        </w:rPr>
        <w:t>Упаковка</w:t>
      </w:r>
    </w:p>
    <w:p w14:paraId="25FD53A8" w14:textId="13293527" w:rsidR="004F62B5" w:rsidRPr="0037351D" w:rsidRDefault="00AA2122" w:rsidP="0084503D">
      <w:pPr>
        <w:ind w:right="-1"/>
        <w:contextualSpacing/>
        <w:jc w:val="both"/>
        <w:rPr>
          <w:bCs/>
          <w:szCs w:val="24"/>
          <w:lang w:val="ru-RU"/>
        </w:rPr>
      </w:pPr>
      <w:r w:rsidRPr="0037351D">
        <w:rPr>
          <w:bCs/>
          <w:color w:val="000000"/>
          <w:szCs w:val="24"/>
        </w:rPr>
        <w:t>По 2 мл в контейнерах однодозовых</w:t>
      </w:r>
      <w:r w:rsidRPr="0037351D">
        <w:rPr>
          <w:szCs w:val="24"/>
        </w:rPr>
        <w:t xml:space="preserve"> полимерных</w:t>
      </w:r>
      <w:r w:rsidRPr="0037351D">
        <w:rPr>
          <w:bCs/>
          <w:color w:val="000000"/>
          <w:szCs w:val="24"/>
        </w:rPr>
        <w:t xml:space="preserve">. По 10 контейнеров </w:t>
      </w:r>
      <w:r w:rsidRPr="0037351D">
        <w:rPr>
          <w:szCs w:val="24"/>
        </w:rPr>
        <w:t>однодозовых</w:t>
      </w:r>
      <w:r w:rsidRPr="0037351D">
        <w:rPr>
          <w:bCs/>
          <w:color w:val="000000"/>
          <w:szCs w:val="24"/>
        </w:rPr>
        <w:t xml:space="preserve"> в пакете из пленки полимерной в </w:t>
      </w:r>
      <w:r w:rsidRPr="0037351D">
        <w:rPr>
          <w:color w:val="000000"/>
          <w:szCs w:val="24"/>
        </w:rPr>
        <w:t>коробк</w:t>
      </w:r>
      <w:r w:rsidRPr="0037351D">
        <w:rPr>
          <w:bCs/>
          <w:color w:val="000000"/>
          <w:szCs w:val="24"/>
        </w:rPr>
        <w:t>е из картона.</w:t>
      </w:r>
    </w:p>
    <w:p w14:paraId="027F1E11" w14:textId="77777777" w:rsidR="00A55268" w:rsidRPr="0037351D" w:rsidRDefault="00A55268" w:rsidP="0084503D">
      <w:pPr>
        <w:ind w:right="-1"/>
        <w:contextualSpacing/>
        <w:jc w:val="both"/>
        <w:rPr>
          <w:b/>
          <w:szCs w:val="24"/>
          <w:lang w:val="ru-RU"/>
        </w:rPr>
      </w:pPr>
    </w:p>
    <w:p w14:paraId="61B110F8" w14:textId="77777777" w:rsidR="00C97409" w:rsidRPr="0037351D" w:rsidRDefault="00DD7655" w:rsidP="0084503D">
      <w:pPr>
        <w:ind w:right="-1"/>
        <w:contextualSpacing/>
        <w:jc w:val="both"/>
        <w:rPr>
          <w:b/>
          <w:szCs w:val="24"/>
          <w:lang w:val="ru-RU"/>
        </w:rPr>
      </w:pPr>
      <w:r w:rsidRPr="0037351D">
        <w:rPr>
          <w:b/>
          <w:szCs w:val="24"/>
          <w:lang w:val="ru-RU"/>
        </w:rPr>
        <w:t>Условия отпуска</w:t>
      </w:r>
    </w:p>
    <w:p w14:paraId="60E4ED09" w14:textId="77777777" w:rsidR="004F62B5" w:rsidRPr="0037351D" w:rsidRDefault="004F62B5" w:rsidP="0084503D">
      <w:pPr>
        <w:ind w:right="-1"/>
        <w:contextualSpacing/>
        <w:jc w:val="both"/>
        <w:rPr>
          <w:b/>
          <w:szCs w:val="24"/>
          <w:lang w:val="ru-RU"/>
        </w:rPr>
      </w:pPr>
      <w:r w:rsidRPr="0037351D">
        <w:rPr>
          <w:bCs/>
          <w:szCs w:val="24"/>
          <w:lang w:val="ru-RU"/>
        </w:rPr>
        <w:t>По рецепту</w:t>
      </w:r>
      <w:r w:rsidRPr="0037351D">
        <w:rPr>
          <w:szCs w:val="24"/>
          <w:lang w:val="ru-RU" w:eastAsia="ru-RU"/>
        </w:rPr>
        <w:t>.</w:t>
      </w:r>
    </w:p>
    <w:p w14:paraId="4966552D" w14:textId="77777777" w:rsidR="00F62519" w:rsidRPr="0037351D" w:rsidRDefault="00F62519" w:rsidP="00A3433A">
      <w:pPr>
        <w:ind w:right="-1"/>
        <w:contextualSpacing/>
        <w:jc w:val="both"/>
        <w:rPr>
          <w:b/>
          <w:szCs w:val="24"/>
          <w:lang w:val="ru-RU"/>
        </w:rPr>
      </w:pPr>
    </w:p>
    <w:p w14:paraId="75DE7031" w14:textId="77777777" w:rsidR="00127D3F" w:rsidRPr="0037351D" w:rsidRDefault="00127D3F" w:rsidP="00A3433A">
      <w:pPr>
        <w:ind w:right="-1"/>
        <w:contextualSpacing/>
        <w:jc w:val="both"/>
        <w:rPr>
          <w:b/>
          <w:szCs w:val="24"/>
          <w:lang w:val="ru-RU"/>
        </w:rPr>
      </w:pPr>
      <w:r w:rsidRPr="0037351D">
        <w:rPr>
          <w:b/>
          <w:szCs w:val="24"/>
          <w:lang w:val="ru-RU"/>
        </w:rPr>
        <w:t>Производитель</w:t>
      </w:r>
    </w:p>
    <w:p w14:paraId="718307A0" w14:textId="3F9A518C" w:rsidR="004F62B5" w:rsidRPr="0037351D" w:rsidRDefault="004F62B5" w:rsidP="00A3433A">
      <w:pPr>
        <w:ind w:right="-1"/>
        <w:contextualSpacing/>
        <w:jc w:val="both"/>
        <w:rPr>
          <w:szCs w:val="24"/>
          <w:lang w:val="ru-RU"/>
        </w:rPr>
      </w:pPr>
      <w:r w:rsidRPr="0037351D">
        <w:rPr>
          <w:bCs/>
          <w:szCs w:val="24"/>
          <w:lang w:val="ru-RU"/>
        </w:rPr>
        <w:t xml:space="preserve">ООО </w:t>
      </w:r>
      <w:r w:rsidRPr="0037351D">
        <w:rPr>
          <w:szCs w:val="24"/>
          <w:lang w:val="ru-RU"/>
        </w:rPr>
        <w:t>«Юрия-Фарм»</w:t>
      </w:r>
    </w:p>
    <w:p w14:paraId="4AC880D5" w14:textId="77777777" w:rsidR="00A55268" w:rsidRPr="0037351D" w:rsidRDefault="00A55268" w:rsidP="00A3433A">
      <w:pPr>
        <w:ind w:right="-1"/>
        <w:contextualSpacing/>
        <w:jc w:val="both"/>
        <w:rPr>
          <w:b/>
          <w:szCs w:val="24"/>
          <w:lang w:val="ru-RU"/>
        </w:rPr>
      </w:pPr>
    </w:p>
    <w:p w14:paraId="09034107" w14:textId="77777777" w:rsidR="004F62B5" w:rsidRPr="0037351D" w:rsidRDefault="004F62B5" w:rsidP="00A3433A">
      <w:pPr>
        <w:ind w:right="-1"/>
        <w:contextualSpacing/>
        <w:jc w:val="both"/>
        <w:rPr>
          <w:b/>
          <w:szCs w:val="24"/>
          <w:lang w:val="ru-RU"/>
        </w:rPr>
      </w:pPr>
      <w:r w:rsidRPr="0037351D">
        <w:rPr>
          <w:b/>
          <w:szCs w:val="24"/>
          <w:lang w:val="ru-RU"/>
        </w:rPr>
        <w:t>Местонахождение</w:t>
      </w:r>
      <w:r w:rsidR="00A55268" w:rsidRPr="0037351D">
        <w:rPr>
          <w:b/>
          <w:szCs w:val="24"/>
          <w:lang w:val="ru-RU"/>
        </w:rPr>
        <w:t xml:space="preserve"> производителя</w:t>
      </w:r>
    </w:p>
    <w:p w14:paraId="5CE24E42" w14:textId="1E37388F" w:rsidR="00A55268" w:rsidRPr="0037351D" w:rsidRDefault="004F62B5" w:rsidP="00A3433A">
      <w:pPr>
        <w:ind w:right="-1"/>
        <w:contextualSpacing/>
        <w:jc w:val="both"/>
        <w:rPr>
          <w:b/>
          <w:szCs w:val="24"/>
          <w:lang w:val="ru-RU"/>
        </w:rPr>
      </w:pPr>
      <w:r w:rsidRPr="0037351D">
        <w:rPr>
          <w:szCs w:val="24"/>
          <w:lang w:val="ru-RU"/>
        </w:rPr>
        <w:t>Украина, 18030,</w:t>
      </w:r>
      <w:r w:rsidR="00A55268" w:rsidRPr="0037351D">
        <w:rPr>
          <w:szCs w:val="24"/>
          <w:lang w:val="ru-RU"/>
        </w:rPr>
        <w:t xml:space="preserve"> Черкасская обл.,</w:t>
      </w:r>
      <w:r w:rsidRPr="0037351D">
        <w:rPr>
          <w:szCs w:val="24"/>
          <w:lang w:val="ru-RU"/>
        </w:rPr>
        <w:t xml:space="preserve"> г. Черкассы, ул. Кобзарская, 108.</w:t>
      </w:r>
    </w:p>
    <w:p w14:paraId="09E98717" w14:textId="20C66579" w:rsidR="00AD3E8D" w:rsidRPr="00A3433A" w:rsidRDefault="004F62B5" w:rsidP="00A3433A">
      <w:pPr>
        <w:ind w:right="-1"/>
        <w:contextualSpacing/>
        <w:jc w:val="both"/>
        <w:rPr>
          <w:szCs w:val="24"/>
          <w:lang w:val="ru-RU"/>
        </w:rPr>
      </w:pPr>
      <w:r w:rsidRPr="0037351D">
        <w:rPr>
          <w:szCs w:val="24"/>
          <w:lang w:val="ru-RU"/>
        </w:rPr>
        <w:t>Тел</w:t>
      </w:r>
      <w:r w:rsidR="00A55268" w:rsidRPr="0037351D">
        <w:rPr>
          <w:szCs w:val="24"/>
          <w:lang w:val="ru-RU"/>
        </w:rPr>
        <w:t>.</w:t>
      </w:r>
      <w:r w:rsidRPr="0037351D">
        <w:rPr>
          <w:szCs w:val="24"/>
          <w:lang w:val="ru-RU"/>
        </w:rPr>
        <w:t>:</w:t>
      </w:r>
      <w:r w:rsidR="00A55268" w:rsidRPr="0037351D">
        <w:rPr>
          <w:szCs w:val="24"/>
          <w:lang w:val="ru-RU"/>
        </w:rPr>
        <w:t xml:space="preserve"> +38</w:t>
      </w:r>
      <w:r w:rsidRPr="0037351D">
        <w:rPr>
          <w:szCs w:val="24"/>
          <w:lang w:val="ru-RU"/>
        </w:rPr>
        <w:t xml:space="preserve"> (044) 281-01-01.</w:t>
      </w:r>
    </w:p>
    <w:sectPr w:rsidR="00AD3E8D" w:rsidRPr="00A3433A" w:rsidSect="00D7144D">
      <w:footerReference w:type="default" r:id="rId11"/>
      <w:pgSz w:w="11906" w:h="16838"/>
      <w:pgMar w:top="1134" w:right="850" w:bottom="1134" w:left="1701"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49228" w14:textId="77777777" w:rsidR="008768F9" w:rsidRDefault="008768F9" w:rsidP="007F1261">
      <w:r>
        <w:separator/>
      </w:r>
    </w:p>
  </w:endnote>
  <w:endnote w:type="continuationSeparator" w:id="0">
    <w:p w14:paraId="7C74E09F" w14:textId="77777777" w:rsidR="008768F9" w:rsidRDefault="008768F9" w:rsidP="007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E3DB5" w14:textId="77777777" w:rsidR="007F1261" w:rsidRDefault="007F1261">
    <w:pPr>
      <w:pStyle w:val="a6"/>
      <w:jc w:val="right"/>
    </w:pPr>
  </w:p>
  <w:p w14:paraId="72521E52" w14:textId="77777777" w:rsidR="007F1261" w:rsidRDefault="007F12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3C6E0" w14:textId="77777777" w:rsidR="008768F9" w:rsidRDefault="008768F9" w:rsidP="007F1261">
      <w:r>
        <w:separator/>
      </w:r>
    </w:p>
  </w:footnote>
  <w:footnote w:type="continuationSeparator" w:id="0">
    <w:p w14:paraId="7FAE2464" w14:textId="77777777" w:rsidR="008768F9" w:rsidRDefault="008768F9" w:rsidP="007F1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B5"/>
    <w:rsid w:val="00005EA1"/>
    <w:rsid w:val="00013348"/>
    <w:rsid w:val="00030D16"/>
    <w:rsid w:val="00043256"/>
    <w:rsid w:val="00051006"/>
    <w:rsid w:val="00077DE2"/>
    <w:rsid w:val="00083B6D"/>
    <w:rsid w:val="000D727A"/>
    <w:rsid w:val="00101B1E"/>
    <w:rsid w:val="00115DC0"/>
    <w:rsid w:val="00122122"/>
    <w:rsid w:val="00127D3F"/>
    <w:rsid w:val="0017361A"/>
    <w:rsid w:val="001941F8"/>
    <w:rsid w:val="001A105D"/>
    <w:rsid w:val="001B2520"/>
    <w:rsid w:val="001C7E10"/>
    <w:rsid w:val="001D310F"/>
    <w:rsid w:val="001E19F8"/>
    <w:rsid w:val="00210F99"/>
    <w:rsid w:val="00216FB0"/>
    <w:rsid w:val="00254623"/>
    <w:rsid w:val="00260020"/>
    <w:rsid w:val="002661FB"/>
    <w:rsid w:val="00273387"/>
    <w:rsid w:val="00277136"/>
    <w:rsid w:val="0028354A"/>
    <w:rsid w:val="002A7B1B"/>
    <w:rsid w:val="002C77F6"/>
    <w:rsid w:val="002C7D0E"/>
    <w:rsid w:val="002D22D3"/>
    <w:rsid w:val="00332595"/>
    <w:rsid w:val="003377E2"/>
    <w:rsid w:val="0037351D"/>
    <w:rsid w:val="0038421E"/>
    <w:rsid w:val="00395060"/>
    <w:rsid w:val="003A66FB"/>
    <w:rsid w:val="003B0CFB"/>
    <w:rsid w:val="00451386"/>
    <w:rsid w:val="00451A14"/>
    <w:rsid w:val="00474740"/>
    <w:rsid w:val="00474F7F"/>
    <w:rsid w:val="004A2B93"/>
    <w:rsid w:val="004B198A"/>
    <w:rsid w:val="004B39AB"/>
    <w:rsid w:val="004D75EC"/>
    <w:rsid w:val="004E4B20"/>
    <w:rsid w:val="004F62B5"/>
    <w:rsid w:val="00500915"/>
    <w:rsid w:val="00523725"/>
    <w:rsid w:val="00527CA7"/>
    <w:rsid w:val="005434C1"/>
    <w:rsid w:val="0056542B"/>
    <w:rsid w:val="0056653E"/>
    <w:rsid w:val="005B0715"/>
    <w:rsid w:val="005C478D"/>
    <w:rsid w:val="00626ACA"/>
    <w:rsid w:val="0063197B"/>
    <w:rsid w:val="00637262"/>
    <w:rsid w:val="00640673"/>
    <w:rsid w:val="00645676"/>
    <w:rsid w:val="00660A61"/>
    <w:rsid w:val="0066548E"/>
    <w:rsid w:val="00681A0B"/>
    <w:rsid w:val="00686703"/>
    <w:rsid w:val="006A712D"/>
    <w:rsid w:val="006B0E8B"/>
    <w:rsid w:val="006D2C81"/>
    <w:rsid w:val="006F0DD9"/>
    <w:rsid w:val="0073205B"/>
    <w:rsid w:val="00735910"/>
    <w:rsid w:val="007750D0"/>
    <w:rsid w:val="00797726"/>
    <w:rsid w:val="007B18E5"/>
    <w:rsid w:val="007B651B"/>
    <w:rsid w:val="007C34E6"/>
    <w:rsid w:val="007C5595"/>
    <w:rsid w:val="007F1261"/>
    <w:rsid w:val="00800515"/>
    <w:rsid w:val="008311EF"/>
    <w:rsid w:val="00844586"/>
    <w:rsid w:val="0084503D"/>
    <w:rsid w:val="0086323A"/>
    <w:rsid w:val="00872037"/>
    <w:rsid w:val="008768F9"/>
    <w:rsid w:val="00887595"/>
    <w:rsid w:val="008876E6"/>
    <w:rsid w:val="008921B3"/>
    <w:rsid w:val="00893C35"/>
    <w:rsid w:val="0089744F"/>
    <w:rsid w:val="008A1B0E"/>
    <w:rsid w:val="008C4773"/>
    <w:rsid w:val="008C61A2"/>
    <w:rsid w:val="008C6576"/>
    <w:rsid w:val="00902C24"/>
    <w:rsid w:val="00916B8E"/>
    <w:rsid w:val="00920479"/>
    <w:rsid w:val="009309F0"/>
    <w:rsid w:val="00932D2C"/>
    <w:rsid w:val="009932D5"/>
    <w:rsid w:val="00996553"/>
    <w:rsid w:val="00996CE8"/>
    <w:rsid w:val="009A3C92"/>
    <w:rsid w:val="009B5A0B"/>
    <w:rsid w:val="009C701B"/>
    <w:rsid w:val="009D7D28"/>
    <w:rsid w:val="00A0777D"/>
    <w:rsid w:val="00A14400"/>
    <w:rsid w:val="00A31356"/>
    <w:rsid w:val="00A3433A"/>
    <w:rsid w:val="00A449ED"/>
    <w:rsid w:val="00A55268"/>
    <w:rsid w:val="00A57D6C"/>
    <w:rsid w:val="00AA2122"/>
    <w:rsid w:val="00AA6123"/>
    <w:rsid w:val="00AD3E8D"/>
    <w:rsid w:val="00AE4750"/>
    <w:rsid w:val="00B20979"/>
    <w:rsid w:val="00B40551"/>
    <w:rsid w:val="00B479AE"/>
    <w:rsid w:val="00B65524"/>
    <w:rsid w:val="00B67AE1"/>
    <w:rsid w:val="00B803B5"/>
    <w:rsid w:val="00B850C6"/>
    <w:rsid w:val="00B8625E"/>
    <w:rsid w:val="00B91903"/>
    <w:rsid w:val="00BA2C25"/>
    <w:rsid w:val="00BB4FF6"/>
    <w:rsid w:val="00BC43B6"/>
    <w:rsid w:val="00BD2F2D"/>
    <w:rsid w:val="00BE5A28"/>
    <w:rsid w:val="00C33262"/>
    <w:rsid w:val="00C3380E"/>
    <w:rsid w:val="00C40DCF"/>
    <w:rsid w:val="00C46897"/>
    <w:rsid w:val="00C55D1B"/>
    <w:rsid w:val="00C639D7"/>
    <w:rsid w:val="00C97409"/>
    <w:rsid w:val="00CB70B6"/>
    <w:rsid w:val="00CB7A7B"/>
    <w:rsid w:val="00CD3666"/>
    <w:rsid w:val="00D122EB"/>
    <w:rsid w:val="00D12F43"/>
    <w:rsid w:val="00D14F80"/>
    <w:rsid w:val="00D258BA"/>
    <w:rsid w:val="00D435B5"/>
    <w:rsid w:val="00D47502"/>
    <w:rsid w:val="00D7144D"/>
    <w:rsid w:val="00D91E3B"/>
    <w:rsid w:val="00DA2852"/>
    <w:rsid w:val="00DD02BE"/>
    <w:rsid w:val="00DD1624"/>
    <w:rsid w:val="00DD68C8"/>
    <w:rsid w:val="00DD6EFF"/>
    <w:rsid w:val="00DD7655"/>
    <w:rsid w:val="00E858C0"/>
    <w:rsid w:val="00EA35AC"/>
    <w:rsid w:val="00ED73AD"/>
    <w:rsid w:val="00EF443F"/>
    <w:rsid w:val="00F0351B"/>
    <w:rsid w:val="00F62519"/>
    <w:rsid w:val="00F66692"/>
    <w:rsid w:val="00F72FC7"/>
    <w:rsid w:val="00FB02E2"/>
    <w:rsid w:val="00FB4123"/>
    <w:rsid w:val="00FC18B3"/>
    <w:rsid w:val="00FF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5931"/>
  <w15:docId w15:val="{E8A9E7B0-769F-43AE-BAE9-65F2B35F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2B5"/>
    <w:pPr>
      <w:spacing w:after="0" w:line="240" w:lineRule="auto"/>
    </w:pPr>
    <w:rPr>
      <w:rFonts w:ascii="Times New Roman" w:eastAsia="Times New Roman" w:hAnsi="Times New Roman" w:cs="Times New Roman"/>
      <w:sz w:val="24"/>
      <w:lang w:val="uk-UA" w:eastAsia="uk-UA"/>
    </w:rPr>
  </w:style>
  <w:style w:type="paragraph" w:styleId="2">
    <w:name w:val="heading 2"/>
    <w:basedOn w:val="a"/>
    <w:next w:val="a"/>
    <w:link w:val="20"/>
    <w:uiPriority w:val="99"/>
    <w:qFormat/>
    <w:rsid w:val="004F62B5"/>
    <w:pPr>
      <w:keepNext/>
      <w:jc w:val="center"/>
      <w:outlineLvl w:val="1"/>
    </w:pPr>
    <w:rPr>
      <w:rFonts w:ascii="Times New Roman CYR" w:hAnsi="Times New Roman CYR"/>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F62B5"/>
    <w:rPr>
      <w:rFonts w:ascii="Times New Roman CYR" w:eastAsia="Times New Roman" w:hAnsi="Times New Roman CYR" w:cs="Times New Roman"/>
      <w:b/>
      <w:sz w:val="24"/>
      <w:szCs w:val="20"/>
      <w:lang w:eastAsia="uk-UA"/>
    </w:rPr>
  </w:style>
  <w:style w:type="paragraph" w:customStyle="1" w:styleId="Markers">
    <w:name w:val="Markers"/>
    <w:basedOn w:val="a"/>
    <w:uiPriority w:val="99"/>
    <w:rsid w:val="004F62B5"/>
    <w:pPr>
      <w:spacing w:after="200" w:line="276" w:lineRule="auto"/>
      <w:jc w:val="both"/>
    </w:pPr>
    <w:rPr>
      <w:rFonts w:ascii="Calibri" w:hAnsi="Calibri"/>
      <w:color w:val="000000"/>
      <w:sz w:val="22"/>
      <w:szCs w:val="20"/>
    </w:rPr>
  </w:style>
  <w:style w:type="paragraph" w:styleId="a3">
    <w:name w:val="List Paragraph"/>
    <w:basedOn w:val="a"/>
    <w:uiPriority w:val="99"/>
    <w:qFormat/>
    <w:rsid w:val="004F62B5"/>
    <w:pPr>
      <w:ind w:left="720"/>
      <w:contextualSpacing/>
    </w:pPr>
  </w:style>
  <w:style w:type="paragraph" w:styleId="a4">
    <w:name w:val="header"/>
    <w:basedOn w:val="a"/>
    <w:link w:val="a5"/>
    <w:uiPriority w:val="99"/>
    <w:unhideWhenUsed/>
    <w:rsid w:val="007F1261"/>
    <w:pPr>
      <w:tabs>
        <w:tab w:val="center" w:pos="4677"/>
        <w:tab w:val="right" w:pos="9355"/>
      </w:tabs>
    </w:pPr>
  </w:style>
  <w:style w:type="character" w:customStyle="1" w:styleId="a5">
    <w:name w:val="Верхний колонтитул Знак"/>
    <w:basedOn w:val="a0"/>
    <w:link w:val="a4"/>
    <w:uiPriority w:val="99"/>
    <w:rsid w:val="007F1261"/>
    <w:rPr>
      <w:rFonts w:ascii="Times New Roman" w:eastAsia="Times New Roman" w:hAnsi="Times New Roman" w:cs="Times New Roman"/>
      <w:sz w:val="24"/>
      <w:lang w:val="uk-UA" w:eastAsia="uk-UA"/>
    </w:rPr>
  </w:style>
  <w:style w:type="paragraph" w:styleId="a6">
    <w:name w:val="footer"/>
    <w:basedOn w:val="a"/>
    <w:link w:val="a7"/>
    <w:uiPriority w:val="99"/>
    <w:unhideWhenUsed/>
    <w:rsid w:val="007F1261"/>
    <w:pPr>
      <w:tabs>
        <w:tab w:val="center" w:pos="4677"/>
        <w:tab w:val="right" w:pos="9355"/>
      </w:tabs>
    </w:pPr>
  </w:style>
  <w:style w:type="character" w:customStyle="1" w:styleId="a7">
    <w:name w:val="Нижний колонтитул Знак"/>
    <w:basedOn w:val="a0"/>
    <w:link w:val="a6"/>
    <w:uiPriority w:val="99"/>
    <w:rsid w:val="007F1261"/>
    <w:rPr>
      <w:rFonts w:ascii="Times New Roman" w:eastAsia="Times New Roman" w:hAnsi="Times New Roman" w:cs="Times New Roman"/>
      <w:sz w:val="24"/>
      <w:lang w:val="uk-UA" w:eastAsia="uk-UA"/>
    </w:rPr>
  </w:style>
  <w:style w:type="paragraph" w:styleId="a8">
    <w:name w:val="Balloon Text"/>
    <w:basedOn w:val="a"/>
    <w:link w:val="a9"/>
    <w:uiPriority w:val="99"/>
    <w:semiHidden/>
    <w:unhideWhenUsed/>
    <w:rsid w:val="00A57D6C"/>
    <w:rPr>
      <w:rFonts w:ascii="Tahoma" w:hAnsi="Tahoma" w:cs="Tahoma"/>
      <w:sz w:val="16"/>
      <w:szCs w:val="16"/>
    </w:rPr>
  </w:style>
  <w:style w:type="character" w:customStyle="1" w:styleId="a9">
    <w:name w:val="Текст выноски Знак"/>
    <w:basedOn w:val="a0"/>
    <w:link w:val="a8"/>
    <w:uiPriority w:val="99"/>
    <w:semiHidden/>
    <w:rsid w:val="00A57D6C"/>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1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harm.kg"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150D12BFA1CA41952EC166BA4AE7F1" ma:contentTypeVersion="18" ma:contentTypeDescription="Створення нового документа." ma:contentTypeScope="" ma:versionID="ce96533c6b429f802498d0bd57ba46b9">
  <xsd:schema xmlns:xsd="http://www.w3.org/2001/XMLSchema" xmlns:xs="http://www.w3.org/2001/XMLSchema" xmlns:p="http://schemas.microsoft.com/office/2006/metadata/properties" xmlns:ns2="242124d5-8bc9-4a62-8e49-84e504145a22" xmlns:ns3="6c429180-fa48-471e-b808-158ece211a10" targetNamespace="http://schemas.microsoft.com/office/2006/metadata/properties" ma:root="true" ma:fieldsID="a6a8fc50feb300b2600f5dc9ef6f197e" ns2:_="" ns3:_="">
    <xsd:import namespace="242124d5-8bc9-4a62-8e49-84e504145a22"/>
    <xsd:import namespace="6c429180-fa48-471e-b808-158ece211a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24d5-8bc9-4a62-8e49-84e504145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ce01c442-fd80-4bbc-b116-a2dcea1e6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29180-fa48-471e-b808-158ece211a10"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1d37829e-cfa2-4d48-bd54-c604fcf06a3e}" ma:internalName="TaxCatchAll" ma:showField="CatchAllData" ma:web="6c429180-fa48-471e-b808-158ece211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29180-fa48-471e-b808-158ece211a10" xsi:nil="true"/>
    <lcf76f155ced4ddcb4097134ff3c332f xmlns="242124d5-8bc9-4a62-8e49-84e504145a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B98A-839D-4918-8400-88B479DB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124d5-8bc9-4a62-8e49-84e504145a22"/>
    <ds:schemaRef ds:uri="6c429180-fa48-471e-b808-158ece211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86D0E-1B6B-4909-AF96-0661EA2C5E7F}">
  <ds:schemaRefs>
    <ds:schemaRef ds:uri="http://schemas.microsoft.com/office/2006/metadata/properties"/>
    <ds:schemaRef ds:uri="http://schemas.microsoft.com/office/infopath/2007/PartnerControls"/>
    <ds:schemaRef ds:uri="6c429180-fa48-471e-b808-158ece211a10"/>
    <ds:schemaRef ds:uri="242124d5-8bc9-4a62-8e49-84e504145a22"/>
  </ds:schemaRefs>
</ds:datastoreItem>
</file>

<file path=customXml/itemProps3.xml><?xml version="1.0" encoding="utf-8"?>
<ds:datastoreItem xmlns:ds="http://schemas.openxmlformats.org/officeDocument/2006/customXml" ds:itemID="{A223FB67-F6B2-43F5-9856-A7E93D704ACA}">
  <ds:schemaRefs>
    <ds:schemaRef ds:uri="http://schemas.microsoft.com/sharepoint/v3/contenttype/forms"/>
  </ds:schemaRefs>
</ds:datastoreItem>
</file>

<file path=customXml/itemProps4.xml><?xml version="1.0" encoding="utf-8"?>
<ds:datastoreItem xmlns:ds="http://schemas.openxmlformats.org/officeDocument/2006/customXml" ds:itemID="{0B0F3043-DB06-46F6-8EF1-E2F76DC4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4438</Words>
  <Characters>25301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 Aksenov</cp:lastModifiedBy>
  <cp:revision>2</cp:revision>
  <cp:lastPrinted>2022-09-25T16:49:00Z</cp:lastPrinted>
  <dcterms:created xsi:type="dcterms:W3CDTF">2025-12-18T12:09:00Z</dcterms:created>
  <dcterms:modified xsi:type="dcterms:W3CDTF">2025-12-18T12:09:00Z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0x01010074150D12BFA1CA41952EC166BA4AE7F1</vt:lpwstr>
  </property>
  <property fmtid="{D5CDD505-2E9C-101B-9397-08002B2CF9AE}" pid="3" name="MediaServiceImageTags">
    <vt:lpwstr/>
  </property>
</Properties>
</file>